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1FBD25" w14:textId="77777777" w:rsidR="00F373BF" w:rsidRDefault="00F373BF">
      <w:pPr>
        <w:rPr>
          <w:rFonts w:ascii="Calibri" w:hAnsi="Calibri"/>
          <w:b/>
          <w:sz w:val="28"/>
          <w:szCs w:val="28"/>
          <w:lang w:val="en-US"/>
        </w:rPr>
      </w:pPr>
    </w:p>
    <w:p w14:paraId="5EA82B20" w14:textId="77777777" w:rsidR="00F373BF" w:rsidRDefault="00F373BF">
      <w:pPr>
        <w:rPr>
          <w:rFonts w:ascii="Calibri" w:hAnsi="Calibri"/>
          <w:b/>
          <w:sz w:val="28"/>
          <w:szCs w:val="28"/>
          <w:lang w:val="en-US"/>
        </w:rPr>
      </w:pPr>
    </w:p>
    <w:p w14:paraId="748B6009" w14:textId="77777777" w:rsidR="00F373BF" w:rsidRDefault="00C913B4">
      <w:r>
        <w:rPr>
          <w:noProof/>
        </w:rPr>
        <w:drawing>
          <wp:anchor distT="0" distB="0" distL="0" distR="0" simplePos="0" relativeHeight="2" behindDoc="0" locked="0" layoutInCell="1" allowOverlap="1" wp14:anchorId="7208B7F8" wp14:editId="53868B85">
            <wp:simplePos x="0" y="0"/>
            <wp:positionH relativeFrom="margin">
              <wp:posOffset>4030980</wp:posOffset>
            </wp:positionH>
            <wp:positionV relativeFrom="paragraph">
              <wp:posOffset>7620</wp:posOffset>
            </wp:positionV>
            <wp:extent cx="2174240" cy="42164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7"/>
                    <a:stretch>
                      <a:fillRect/>
                    </a:stretch>
                  </pic:blipFill>
                  <pic:spPr bwMode="auto">
                    <a:xfrm>
                      <a:off x="0" y="0"/>
                      <a:ext cx="2174240" cy="421640"/>
                    </a:xfrm>
                    <a:prstGeom prst="rect">
                      <a:avLst/>
                    </a:prstGeom>
                  </pic:spPr>
                </pic:pic>
              </a:graphicData>
            </a:graphic>
          </wp:anchor>
        </w:drawing>
      </w:r>
      <w:r>
        <w:rPr>
          <w:b/>
          <w:sz w:val="28"/>
          <w:szCs w:val="28"/>
          <w:lang w:val="en-US"/>
        </w:rPr>
        <w:t>UNECE High-level Group for the</w:t>
      </w:r>
      <w:r>
        <w:rPr>
          <w:b/>
          <w:sz w:val="28"/>
          <w:szCs w:val="28"/>
          <w:lang w:val="en-US"/>
        </w:rPr>
        <w:br/>
        <w:t>Modernisation of Official Statistics</w:t>
      </w:r>
    </w:p>
    <w:p w14:paraId="21F02B50" w14:textId="77777777" w:rsidR="00F373BF" w:rsidRDefault="00F373BF"/>
    <w:p w14:paraId="15BA6139" w14:textId="514C143B" w:rsidR="00F373BF" w:rsidRDefault="00C913B4">
      <w:pPr>
        <w:tabs>
          <w:tab w:val="left" w:pos="0"/>
          <w:tab w:val="left" w:pos="5940"/>
          <w:tab w:val="left" w:pos="6939"/>
          <w:tab w:val="right" w:pos="9356"/>
        </w:tabs>
        <w:jc w:val="center"/>
        <w:rPr>
          <w:rFonts w:ascii="Calibri" w:hAnsi="Calibri"/>
          <w:b/>
          <w:sz w:val="28"/>
          <w:szCs w:val="28"/>
          <w:lang w:val="en-US"/>
        </w:rPr>
      </w:pPr>
      <w:r>
        <w:rPr>
          <w:b/>
          <w:sz w:val="28"/>
          <w:szCs w:val="28"/>
          <w:lang w:val="en-US"/>
        </w:rPr>
        <w:t xml:space="preserve">Business Case </w:t>
      </w:r>
      <w:r w:rsidR="00621011">
        <w:rPr>
          <w:b/>
          <w:sz w:val="28"/>
          <w:szCs w:val="28"/>
          <w:lang w:val="en-US"/>
        </w:rPr>
        <w:t>for the implementation</w:t>
      </w:r>
      <w:r w:rsidR="002D3C7D">
        <w:rPr>
          <w:b/>
          <w:sz w:val="28"/>
          <w:szCs w:val="28"/>
          <w:lang w:val="en-US"/>
        </w:rPr>
        <w:t xml:space="preserve"> of future of work</w:t>
      </w:r>
      <w:r w:rsidR="00621011">
        <w:rPr>
          <w:b/>
          <w:sz w:val="28"/>
          <w:szCs w:val="28"/>
          <w:lang w:val="en-US"/>
        </w:rPr>
        <w:t xml:space="preserve"> toolkits</w:t>
      </w:r>
    </w:p>
    <w:p w14:paraId="2A309449" w14:textId="77777777" w:rsidR="00F373BF" w:rsidRDefault="00F373BF">
      <w:pPr>
        <w:rPr>
          <w:rFonts w:asciiTheme="majorBidi" w:hAnsiTheme="majorBidi" w:cstheme="majorBidi"/>
          <w:sz w:val="24"/>
          <w:szCs w:val="24"/>
        </w:rPr>
      </w:pPr>
    </w:p>
    <w:tbl>
      <w:tblPr>
        <w:tblW w:w="9900" w:type="dxa"/>
        <w:tblInd w:w="-77" w:type="dxa"/>
        <w:tblLook w:val="01E0" w:firstRow="1" w:lastRow="1" w:firstColumn="1" w:lastColumn="1" w:noHBand="0" w:noVBand="0"/>
      </w:tblPr>
      <w:tblGrid>
        <w:gridCol w:w="9900"/>
      </w:tblGrid>
      <w:tr w:rsidR="00F373BF" w14:paraId="620C8926" w14:textId="77777777">
        <w:tc>
          <w:tcPr>
            <w:tcW w:w="9900" w:type="dxa"/>
            <w:tcBorders>
              <w:top w:val="single" w:sz="4" w:space="0" w:color="000000"/>
              <w:left w:val="single" w:sz="4" w:space="0" w:color="000000"/>
              <w:bottom w:val="single" w:sz="4" w:space="0" w:color="000000"/>
              <w:right w:val="single" w:sz="4" w:space="0" w:color="000000"/>
            </w:tcBorders>
          </w:tcPr>
          <w:p w14:paraId="24B5806D" w14:textId="77777777" w:rsidR="00F373BF" w:rsidRDefault="00C913B4">
            <w:pPr>
              <w:tabs>
                <w:tab w:val="left" w:pos="0"/>
                <w:tab w:val="left" w:pos="850"/>
                <w:tab w:val="left" w:pos="1191"/>
                <w:tab w:val="left" w:pos="1531"/>
                <w:tab w:val="left" w:pos="5940"/>
                <w:tab w:val="left" w:pos="6939"/>
                <w:tab w:val="right" w:pos="9356"/>
              </w:tabs>
              <w:jc w:val="both"/>
              <w:rPr>
                <w:rFonts w:asciiTheme="majorBidi" w:hAnsiTheme="majorBidi" w:cstheme="majorBidi"/>
                <w:sz w:val="24"/>
                <w:szCs w:val="24"/>
                <w:lang w:val="en-US"/>
              </w:rPr>
            </w:pPr>
            <w:r>
              <w:rPr>
                <w:rFonts w:asciiTheme="majorBidi" w:hAnsiTheme="majorBidi" w:cstheme="majorBidi"/>
                <w:sz w:val="24"/>
                <w:szCs w:val="24"/>
                <w:lang w:val="en-US"/>
              </w:rPr>
              <w:t>This business case was prepared by the Modernization Group on Capabilities and Communication and is submitted to the HLG-MOS for their approval.</w:t>
            </w:r>
          </w:p>
        </w:tc>
      </w:tr>
    </w:tbl>
    <w:p w14:paraId="15F64F73" w14:textId="77777777" w:rsidR="00F373BF" w:rsidRDefault="00F373BF">
      <w:pPr>
        <w:rPr>
          <w:rFonts w:asciiTheme="majorBidi" w:hAnsiTheme="majorBidi" w:cstheme="majorBidi"/>
          <w:sz w:val="24"/>
          <w:szCs w:val="24"/>
        </w:rPr>
      </w:pPr>
    </w:p>
    <w:tbl>
      <w:tblPr>
        <w:tblStyle w:val="TableGrid"/>
        <w:tblW w:w="9975" w:type="dxa"/>
        <w:tblInd w:w="-147" w:type="dxa"/>
        <w:tblLook w:val="04A0" w:firstRow="1" w:lastRow="0" w:firstColumn="1" w:lastColumn="0" w:noHBand="0" w:noVBand="1"/>
      </w:tblPr>
      <w:tblGrid>
        <w:gridCol w:w="600"/>
        <w:gridCol w:w="4086"/>
        <w:gridCol w:w="226"/>
        <w:gridCol w:w="587"/>
        <w:gridCol w:w="4476"/>
      </w:tblGrid>
      <w:tr w:rsidR="00F373BF" w14:paraId="6D78112C" w14:textId="77777777">
        <w:tc>
          <w:tcPr>
            <w:tcW w:w="9974" w:type="dxa"/>
            <w:gridSpan w:val="5"/>
            <w:shd w:val="clear" w:color="auto" w:fill="8DB3E2" w:themeFill="text2" w:themeFillTint="66"/>
          </w:tcPr>
          <w:p w14:paraId="25529DAF" w14:textId="77777777" w:rsidR="00F373BF" w:rsidRDefault="00C913B4">
            <w:pPr>
              <w:rPr>
                <w:rFonts w:asciiTheme="majorBidi" w:hAnsiTheme="majorBidi" w:cstheme="majorBidi"/>
                <w:b/>
                <w:szCs w:val="24"/>
              </w:rPr>
            </w:pPr>
            <w:r>
              <w:rPr>
                <w:rFonts w:asciiTheme="majorBidi" w:hAnsiTheme="majorBidi" w:cstheme="majorBidi"/>
                <w:b/>
                <w:sz w:val="24"/>
                <w:szCs w:val="24"/>
              </w:rPr>
              <w:t xml:space="preserve">Type of Activity </w:t>
            </w:r>
          </w:p>
        </w:tc>
      </w:tr>
      <w:tr w:rsidR="00F373BF" w14:paraId="388CE72C" w14:textId="77777777">
        <w:tc>
          <w:tcPr>
            <w:tcW w:w="599" w:type="dxa"/>
          </w:tcPr>
          <w:sdt>
            <w:sdtPr>
              <w:id w:val="1708712396"/>
              <w14:checkbox>
                <w14:checked w14:val="1"/>
                <w14:checkedState w14:val="2612" w14:font="MS Gothic"/>
                <w14:uncheckedState w14:val="2610" w14:font="MS Gothic"/>
              </w14:checkbox>
            </w:sdtPr>
            <w:sdtEndPr/>
            <w:sdtContent>
              <w:p w14:paraId="3237B394" w14:textId="77777777" w:rsidR="00F373BF" w:rsidRDefault="00C913B4">
                <w:pPr>
                  <w:rPr>
                    <w:rFonts w:asciiTheme="majorBidi" w:hAnsiTheme="majorBidi" w:cstheme="majorBidi"/>
                    <w:szCs w:val="24"/>
                  </w:rPr>
                </w:pPr>
                <w:r>
                  <w:rPr>
                    <w:rFonts w:ascii="Segoe UI Symbol" w:eastAsia="MS Gothic" w:hAnsi="Segoe UI Symbol" w:cs="Segoe UI Symbol"/>
                    <w:sz w:val="24"/>
                    <w:szCs w:val="24"/>
                  </w:rPr>
                  <w:t>☐</w:t>
                </w:r>
              </w:p>
            </w:sdtContent>
          </w:sdt>
        </w:tc>
        <w:tc>
          <w:tcPr>
            <w:tcW w:w="4312" w:type="dxa"/>
            <w:gridSpan w:val="2"/>
          </w:tcPr>
          <w:p w14:paraId="1DF11281" w14:textId="77777777" w:rsidR="00F373BF" w:rsidRDefault="00C913B4">
            <w:pPr>
              <w:rPr>
                <w:rFonts w:asciiTheme="majorBidi" w:hAnsiTheme="majorBidi" w:cstheme="majorBidi"/>
                <w:szCs w:val="24"/>
              </w:rPr>
            </w:pPr>
            <w:r>
              <w:rPr>
                <w:rFonts w:asciiTheme="majorBidi" w:hAnsiTheme="majorBidi" w:cstheme="majorBidi"/>
                <w:sz w:val="24"/>
                <w:szCs w:val="24"/>
              </w:rPr>
              <w:t>New project</w:t>
            </w:r>
          </w:p>
        </w:tc>
        <w:tc>
          <w:tcPr>
            <w:tcW w:w="587" w:type="dxa"/>
          </w:tcPr>
          <w:sdt>
            <w:sdtPr>
              <w:id w:val="817376191"/>
              <w14:checkbox>
                <w14:checked w14:val="0"/>
                <w14:checkedState w14:val="2612" w14:font="MS Gothic"/>
                <w14:uncheckedState w14:val="2610" w14:font="MS Gothic"/>
              </w14:checkbox>
            </w:sdtPr>
            <w:sdtEndPr/>
            <w:sdtContent>
              <w:p w14:paraId="445F9B41" w14:textId="5075AF67" w:rsidR="00F373BF" w:rsidRDefault="00822F19">
                <w:pPr>
                  <w:rPr>
                    <w:rFonts w:asciiTheme="majorBidi" w:hAnsiTheme="majorBidi" w:cstheme="majorBidi"/>
                    <w:szCs w:val="24"/>
                  </w:rPr>
                </w:pPr>
                <w:r>
                  <w:rPr>
                    <w:rFonts w:ascii="MS Gothic" w:eastAsia="MS Gothic" w:hAnsi="MS Gothic" w:hint="eastAsia"/>
                  </w:rPr>
                  <w:t>☐</w:t>
                </w:r>
              </w:p>
            </w:sdtContent>
          </w:sdt>
        </w:tc>
        <w:tc>
          <w:tcPr>
            <w:tcW w:w="4476" w:type="dxa"/>
          </w:tcPr>
          <w:p w14:paraId="22D3F5E4" w14:textId="77777777" w:rsidR="00F373BF" w:rsidRDefault="00C913B4">
            <w:pPr>
              <w:rPr>
                <w:rFonts w:asciiTheme="majorBidi" w:hAnsiTheme="majorBidi" w:cstheme="majorBidi"/>
                <w:szCs w:val="24"/>
              </w:rPr>
            </w:pPr>
            <w:r>
              <w:rPr>
                <w:rFonts w:asciiTheme="majorBidi" w:hAnsiTheme="majorBidi" w:cstheme="majorBidi"/>
                <w:sz w:val="24"/>
                <w:szCs w:val="24"/>
              </w:rPr>
              <w:t>New activity</w:t>
            </w:r>
          </w:p>
        </w:tc>
      </w:tr>
      <w:tr w:rsidR="00F373BF" w14:paraId="72B96964" w14:textId="77777777">
        <w:tc>
          <w:tcPr>
            <w:tcW w:w="599" w:type="dxa"/>
          </w:tcPr>
          <w:sdt>
            <w:sdtPr>
              <w:id w:val="1951413644"/>
              <w14:checkbox>
                <w14:checked w14:val="1"/>
                <w14:checkedState w14:val="2612" w14:font="MS Gothic"/>
                <w14:uncheckedState w14:val="2610" w14:font="MS Gothic"/>
              </w14:checkbox>
            </w:sdtPr>
            <w:sdtEndPr/>
            <w:sdtContent>
              <w:p w14:paraId="108D576F" w14:textId="77777777" w:rsidR="00F373BF" w:rsidRDefault="00C913B4">
                <w:pPr>
                  <w:rPr>
                    <w:rFonts w:asciiTheme="majorBidi" w:hAnsiTheme="majorBidi" w:cstheme="majorBidi"/>
                    <w:szCs w:val="24"/>
                  </w:rPr>
                </w:pPr>
                <w:r>
                  <w:rPr>
                    <w:rFonts w:ascii="Segoe UI Symbol" w:eastAsia="MS Gothic" w:hAnsi="Segoe UI Symbol" w:cs="Segoe UI Symbol"/>
                    <w:sz w:val="24"/>
                    <w:szCs w:val="24"/>
                  </w:rPr>
                  <w:t>☐</w:t>
                </w:r>
              </w:p>
            </w:sdtContent>
          </w:sdt>
        </w:tc>
        <w:tc>
          <w:tcPr>
            <w:tcW w:w="4312" w:type="dxa"/>
            <w:gridSpan w:val="2"/>
          </w:tcPr>
          <w:p w14:paraId="195FE5A3" w14:textId="77777777" w:rsidR="00F373BF" w:rsidRDefault="00C913B4">
            <w:pPr>
              <w:rPr>
                <w:rFonts w:asciiTheme="majorBidi" w:hAnsiTheme="majorBidi" w:cstheme="majorBidi"/>
                <w:szCs w:val="24"/>
              </w:rPr>
            </w:pPr>
            <w:r>
              <w:rPr>
                <w:rFonts w:asciiTheme="majorBidi" w:hAnsiTheme="majorBidi" w:cstheme="majorBidi"/>
                <w:sz w:val="24"/>
                <w:szCs w:val="24"/>
              </w:rPr>
              <w:t>Extension of existing project</w:t>
            </w:r>
          </w:p>
        </w:tc>
        <w:tc>
          <w:tcPr>
            <w:tcW w:w="587" w:type="dxa"/>
          </w:tcPr>
          <w:sdt>
            <w:sdtPr>
              <w:id w:val="1678023447"/>
              <w14:checkbox>
                <w14:checked w14:val="1"/>
                <w14:checkedState w14:val="2612" w14:font="MS Gothic"/>
                <w14:uncheckedState w14:val="2610" w14:font="MS Gothic"/>
              </w14:checkbox>
            </w:sdtPr>
            <w:sdtEndPr/>
            <w:sdtContent>
              <w:p w14:paraId="0EF96D6B" w14:textId="72FA7F9B" w:rsidR="00F373BF" w:rsidRDefault="00822F19">
                <w:pPr>
                  <w:rPr>
                    <w:rFonts w:asciiTheme="majorBidi" w:hAnsiTheme="majorBidi" w:cstheme="majorBidi"/>
                    <w:szCs w:val="24"/>
                  </w:rPr>
                </w:pPr>
                <w:r>
                  <w:rPr>
                    <w:rFonts w:ascii="MS Gothic" w:eastAsia="MS Gothic" w:hAnsi="MS Gothic" w:hint="eastAsia"/>
                  </w:rPr>
                  <w:t>☒</w:t>
                </w:r>
              </w:p>
            </w:sdtContent>
          </w:sdt>
        </w:tc>
        <w:tc>
          <w:tcPr>
            <w:tcW w:w="4476" w:type="dxa"/>
          </w:tcPr>
          <w:p w14:paraId="11E75520" w14:textId="77777777" w:rsidR="00F373BF" w:rsidRDefault="00C913B4">
            <w:pPr>
              <w:rPr>
                <w:rFonts w:asciiTheme="majorBidi" w:hAnsiTheme="majorBidi" w:cstheme="majorBidi"/>
                <w:szCs w:val="24"/>
              </w:rPr>
            </w:pPr>
            <w:r>
              <w:rPr>
                <w:rFonts w:asciiTheme="majorBidi" w:hAnsiTheme="majorBidi" w:cstheme="majorBidi"/>
                <w:sz w:val="24"/>
                <w:szCs w:val="24"/>
              </w:rPr>
              <w:t>Extension of existing activity</w:t>
            </w:r>
          </w:p>
        </w:tc>
      </w:tr>
      <w:tr w:rsidR="00F373BF" w14:paraId="720B5F75" w14:textId="77777777">
        <w:tc>
          <w:tcPr>
            <w:tcW w:w="4911" w:type="dxa"/>
            <w:gridSpan w:val="3"/>
          </w:tcPr>
          <w:p w14:paraId="4E0D0715" w14:textId="77777777" w:rsidR="00F373BF" w:rsidRDefault="00C913B4">
            <w:pPr>
              <w:rPr>
                <w:rFonts w:asciiTheme="majorBidi" w:hAnsiTheme="majorBidi" w:cstheme="majorBidi"/>
                <w:i/>
                <w:iCs/>
                <w:color w:val="A6A6A6" w:themeColor="background1" w:themeShade="A6"/>
                <w:szCs w:val="24"/>
              </w:rPr>
            </w:pPr>
            <w:r>
              <w:rPr>
                <w:rFonts w:asciiTheme="majorBidi" w:hAnsiTheme="majorBidi" w:cstheme="majorBidi"/>
                <w:i/>
                <w:iCs/>
                <w:color w:val="A6A6A6" w:themeColor="background1" w:themeShade="A6"/>
                <w:sz w:val="24"/>
                <w:szCs w:val="24"/>
              </w:rPr>
              <w:t>Projects are undertaken by separate project teams. Projects are expected to produce a significant contribution to achieving the HLG-MOS vision</w:t>
            </w:r>
          </w:p>
          <w:p w14:paraId="64D57DE1" w14:textId="77777777" w:rsidR="00F373BF" w:rsidRDefault="00F373BF">
            <w:pPr>
              <w:rPr>
                <w:rFonts w:asciiTheme="majorBidi" w:hAnsiTheme="majorBidi" w:cstheme="majorBidi"/>
                <w:szCs w:val="24"/>
              </w:rPr>
            </w:pPr>
          </w:p>
        </w:tc>
        <w:tc>
          <w:tcPr>
            <w:tcW w:w="5063" w:type="dxa"/>
            <w:gridSpan w:val="2"/>
          </w:tcPr>
          <w:p w14:paraId="6D4B04FD" w14:textId="77777777" w:rsidR="00F373BF" w:rsidRDefault="00C913B4">
            <w:pPr>
              <w:spacing w:after="240"/>
              <w:rPr>
                <w:rFonts w:asciiTheme="majorBidi" w:hAnsiTheme="majorBidi" w:cstheme="majorBidi"/>
                <w:i/>
                <w:iCs/>
                <w:color w:val="A6A6A6" w:themeColor="background1" w:themeShade="A6"/>
                <w:szCs w:val="24"/>
              </w:rPr>
            </w:pPr>
            <w:r>
              <w:rPr>
                <w:rFonts w:asciiTheme="majorBidi" w:hAnsiTheme="majorBidi" w:cstheme="majorBidi"/>
                <w:i/>
                <w:iCs/>
                <w:color w:val="A6A6A6" w:themeColor="background1" w:themeShade="A6"/>
                <w:sz w:val="24"/>
                <w:szCs w:val="24"/>
              </w:rPr>
              <w:t>Activities are undertaken by Modernisation Groups. These activities produce smaller, more detailed outputs to help achieve the HLG-MOS vision</w:t>
            </w:r>
          </w:p>
        </w:tc>
      </w:tr>
      <w:tr w:rsidR="00F373BF" w14:paraId="4ED62C9F" w14:textId="77777777">
        <w:tc>
          <w:tcPr>
            <w:tcW w:w="9974" w:type="dxa"/>
            <w:gridSpan w:val="5"/>
          </w:tcPr>
          <w:p w14:paraId="395A0DF4" w14:textId="77777777" w:rsidR="00F373BF" w:rsidRDefault="00C913B4">
            <w:pPr>
              <w:spacing w:after="240"/>
              <w:rPr>
                <w:rFonts w:asciiTheme="majorBidi" w:hAnsiTheme="majorBidi" w:cstheme="majorBidi"/>
                <w:i/>
                <w:iCs/>
                <w:color w:val="A6A6A6" w:themeColor="background1" w:themeShade="A6"/>
                <w:szCs w:val="24"/>
              </w:rPr>
            </w:pPr>
            <w:r>
              <w:rPr>
                <w:rFonts w:asciiTheme="majorBidi" w:hAnsiTheme="majorBidi" w:cstheme="majorBidi"/>
                <w:i/>
                <w:iCs/>
                <w:color w:val="A6A6A6" w:themeColor="background1" w:themeShade="A6"/>
                <w:sz w:val="24"/>
                <w:szCs w:val="24"/>
              </w:rPr>
              <w:t>See here for more details: https://statswiki.unece.org/display/hlgbas/HLG-MOS+Strategy</w:t>
            </w:r>
          </w:p>
        </w:tc>
      </w:tr>
      <w:tr w:rsidR="00F373BF" w14:paraId="417BAE1C" w14:textId="77777777">
        <w:tc>
          <w:tcPr>
            <w:tcW w:w="9974" w:type="dxa"/>
            <w:gridSpan w:val="5"/>
            <w:shd w:val="clear" w:color="auto" w:fill="8DB3E2" w:themeFill="text2" w:themeFillTint="66"/>
          </w:tcPr>
          <w:p w14:paraId="097AA795" w14:textId="77777777" w:rsidR="00F373BF" w:rsidRDefault="00C913B4">
            <w:pPr>
              <w:rPr>
                <w:rFonts w:asciiTheme="majorBidi" w:hAnsiTheme="majorBidi" w:cstheme="majorBidi"/>
                <w:b/>
                <w:szCs w:val="24"/>
              </w:rPr>
            </w:pPr>
            <w:r>
              <w:rPr>
                <w:rFonts w:asciiTheme="majorBidi" w:hAnsiTheme="majorBidi" w:cstheme="majorBidi"/>
                <w:b/>
                <w:sz w:val="24"/>
                <w:szCs w:val="24"/>
              </w:rPr>
              <w:t>Purpose</w:t>
            </w:r>
          </w:p>
        </w:tc>
      </w:tr>
      <w:tr w:rsidR="00F373BF" w14:paraId="05709C2E" w14:textId="77777777">
        <w:tc>
          <w:tcPr>
            <w:tcW w:w="9974" w:type="dxa"/>
            <w:gridSpan w:val="5"/>
            <w:shd w:val="clear" w:color="auto" w:fill="FFFFFF" w:themeFill="background1"/>
          </w:tcPr>
          <w:p w14:paraId="02F46623" w14:textId="69D4C3DB" w:rsidR="00F373BF" w:rsidRDefault="00C913B4" w:rsidP="00114865">
            <w:pPr>
              <w:rPr>
                <w:rFonts w:asciiTheme="majorBidi" w:hAnsiTheme="majorBidi" w:cstheme="majorBidi"/>
                <w:color w:val="000000"/>
                <w:szCs w:val="24"/>
                <w:lang w:val="en-IE"/>
              </w:rPr>
            </w:pPr>
            <w:r>
              <w:rPr>
                <w:rFonts w:asciiTheme="majorBidi" w:hAnsiTheme="majorBidi" w:cstheme="majorBidi"/>
                <w:color w:val="000000"/>
                <w:sz w:val="24"/>
                <w:szCs w:val="24"/>
                <w:lang w:val="en-IE"/>
              </w:rPr>
              <w:t>The world of work is changing at an unprecedented rate and this is providing both challenges a</w:t>
            </w:r>
            <w:r w:rsidR="00542B1F">
              <w:rPr>
                <w:rFonts w:asciiTheme="majorBidi" w:hAnsiTheme="majorBidi" w:cstheme="majorBidi"/>
                <w:color w:val="000000"/>
                <w:sz w:val="24"/>
                <w:szCs w:val="24"/>
                <w:lang w:val="en-IE"/>
              </w:rPr>
              <w:t>s well as</w:t>
            </w:r>
            <w:r>
              <w:rPr>
                <w:rFonts w:asciiTheme="majorBidi" w:hAnsiTheme="majorBidi" w:cstheme="majorBidi"/>
                <w:color w:val="000000"/>
                <w:sz w:val="24"/>
                <w:szCs w:val="24"/>
                <w:lang w:val="en-IE"/>
              </w:rPr>
              <w:t xml:space="preserve"> opportunities for </w:t>
            </w:r>
            <w:r w:rsidR="009B2445">
              <w:rPr>
                <w:rFonts w:asciiTheme="majorBidi" w:hAnsiTheme="majorBidi" w:cstheme="majorBidi"/>
                <w:color w:val="000000"/>
                <w:sz w:val="24"/>
                <w:szCs w:val="24"/>
                <w:lang w:val="en-IE"/>
              </w:rPr>
              <w:t xml:space="preserve">National </w:t>
            </w:r>
            <w:r>
              <w:rPr>
                <w:rFonts w:asciiTheme="majorBidi" w:hAnsiTheme="majorBidi" w:cstheme="majorBidi"/>
                <w:color w:val="000000"/>
                <w:sz w:val="24"/>
                <w:szCs w:val="24"/>
                <w:lang w:val="en-IE"/>
              </w:rPr>
              <w:t xml:space="preserve">Statistical Organisations. </w:t>
            </w:r>
          </w:p>
          <w:p w14:paraId="1C6C8B1F" w14:textId="226AA3E5" w:rsidR="00F373BF" w:rsidRDefault="00C913B4">
            <w:pPr>
              <w:spacing w:after="120"/>
              <w:rPr>
                <w:rFonts w:asciiTheme="majorBidi" w:hAnsiTheme="majorBidi" w:cstheme="majorBidi"/>
                <w:iCs/>
                <w:sz w:val="24"/>
                <w:szCs w:val="24"/>
              </w:rPr>
            </w:pPr>
            <w:r w:rsidRPr="00C913B4">
              <w:rPr>
                <w:rFonts w:asciiTheme="majorBidi" w:hAnsiTheme="majorBidi" w:cstheme="majorBidi"/>
                <w:iCs/>
                <w:sz w:val="24"/>
                <w:szCs w:val="24"/>
              </w:rPr>
              <w:t xml:space="preserve">The "next normal" at the workplace </w:t>
            </w:r>
            <w:r w:rsidR="003713B1">
              <w:rPr>
                <w:rFonts w:asciiTheme="majorBidi" w:hAnsiTheme="majorBidi" w:cstheme="majorBidi"/>
                <w:iCs/>
                <w:sz w:val="24"/>
                <w:szCs w:val="24"/>
              </w:rPr>
              <w:t>is</w:t>
            </w:r>
            <w:r w:rsidRPr="00C913B4">
              <w:rPr>
                <w:rFonts w:asciiTheme="majorBidi" w:hAnsiTheme="majorBidi" w:cstheme="majorBidi"/>
                <w:iCs/>
                <w:sz w:val="24"/>
                <w:szCs w:val="24"/>
              </w:rPr>
              <w:t xml:space="preserve"> conditioned by a substantial evolution regarding work from home (WFH) and flexible work policies. </w:t>
            </w:r>
            <w:proofErr w:type="gramStart"/>
            <w:r w:rsidRPr="00C913B4">
              <w:rPr>
                <w:rFonts w:asciiTheme="majorBidi" w:hAnsiTheme="majorBidi" w:cstheme="majorBidi"/>
                <w:iCs/>
                <w:sz w:val="24"/>
                <w:szCs w:val="24"/>
              </w:rPr>
              <w:t>In order to</w:t>
            </w:r>
            <w:proofErr w:type="gramEnd"/>
            <w:r w:rsidRPr="00C913B4">
              <w:rPr>
                <w:rFonts w:asciiTheme="majorBidi" w:hAnsiTheme="majorBidi" w:cstheme="majorBidi"/>
                <w:iCs/>
                <w:sz w:val="24"/>
                <w:szCs w:val="24"/>
              </w:rPr>
              <w:t xml:space="preserve"> </w:t>
            </w:r>
            <w:r w:rsidR="003713B1">
              <w:rPr>
                <w:rFonts w:asciiTheme="majorBidi" w:hAnsiTheme="majorBidi" w:cstheme="majorBidi"/>
                <w:iCs/>
                <w:sz w:val="24"/>
                <w:szCs w:val="24"/>
              </w:rPr>
              <w:t>help countries to transition to new working arrangements</w:t>
            </w:r>
            <w:r w:rsidR="0070372E">
              <w:rPr>
                <w:rFonts w:asciiTheme="majorBidi" w:hAnsiTheme="majorBidi" w:cstheme="majorBidi"/>
                <w:iCs/>
                <w:sz w:val="24"/>
                <w:szCs w:val="24"/>
              </w:rPr>
              <w:t>,</w:t>
            </w:r>
            <w:r w:rsidR="003713B1">
              <w:rPr>
                <w:rFonts w:asciiTheme="majorBidi" w:hAnsiTheme="majorBidi" w:cstheme="majorBidi"/>
                <w:iCs/>
                <w:sz w:val="24"/>
                <w:szCs w:val="24"/>
              </w:rPr>
              <w:t xml:space="preserve"> </w:t>
            </w:r>
            <w:r w:rsidR="00542B1F">
              <w:rPr>
                <w:rFonts w:asciiTheme="majorBidi" w:hAnsiTheme="majorBidi" w:cstheme="majorBidi"/>
                <w:iCs/>
                <w:sz w:val="24"/>
                <w:szCs w:val="24"/>
              </w:rPr>
              <w:t xml:space="preserve">in 2021 </w:t>
            </w:r>
            <w:r w:rsidR="0070372E">
              <w:rPr>
                <w:rFonts w:asciiTheme="majorBidi" w:hAnsiTheme="majorBidi" w:cstheme="majorBidi"/>
                <w:iCs/>
                <w:sz w:val="24"/>
                <w:szCs w:val="24"/>
              </w:rPr>
              <w:t xml:space="preserve">a framework of </w:t>
            </w:r>
            <w:r w:rsidR="003713B1">
              <w:rPr>
                <w:rFonts w:asciiTheme="majorBidi" w:hAnsiTheme="majorBidi" w:cstheme="majorBidi"/>
                <w:iCs/>
                <w:sz w:val="24"/>
                <w:szCs w:val="24"/>
              </w:rPr>
              <w:t>three toolkits w</w:t>
            </w:r>
            <w:r w:rsidR="009E6B53">
              <w:rPr>
                <w:rFonts w:asciiTheme="majorBidi" w:hAnsiTheme="majorBidi" w:cstheme="majorBidi"/>
                <w:iCs/>
                <w:sz w:val="24"/>
                <w:szCs w:val="24"/>
              </w:rPr>
              <w:t>as</w:t>
            </w:r>
            <w:r w:rsidR="003713B1">
              <w:rPr>
                <w:rFonts w:asciiTheme="majorBidi" w:hAnsiTheme="majorBidi" w:cstheme="majorBidi"/>
                <w:iCs/>
                <w:sz w:val="24"/>
                <w:szCs w:val="24"/>
              </w:rPr>
              <w:t xml:space="preserve"> created, for manager, employer and employee.</w:t>
            </w:r>
          </w:p>
          <w:p w14:paraId="5FDE1421" w14:textId="38906F2E" w:rsidR="001D1D02" w:rsidRPr="008C2BA9" w:rsidRDefault="00186F9A">
            <w:pPr>
              <w:spacing w:after="120"/>
              <w:rPr>
                <w:rFonts w:asciiTheme="majorBidi" w:hAnsiTheme="majorBidi" w:cstheme="majorBidi"/>
                <w:iCs/>
                <w:sz w:val="24"/>
                <w:szCs w:val="24"/>
              </w:rPr>
            </w:pPr>
            <w:r>
              <w:rPr>
                <w:rFonts w:asciiTheme="majorBidi" w:hAnsiTheme="majorBidi" w:cstheme="majorBidi"/>
                <w:iCs/>
                <w:sz w:val="24"/>
                <w:szCs w:val="24"/>
              </w:rPr>
              <w:t>T</w:t>
            </w:r>
            <w:r w:rsidR="001074FF">
              <w:rPr>
                <w:rFonts w:asciiTheme="majorBidi" w:hAnsiTheme="majorBidi" w:cstheme="majorBidi"/>
                <w:iCs/>
                <w:sz w:val="24"/>
                <w:szCs w:val="24"/>
              </w:rPr>
              <w:t>he second stage will be to</w:t>
            </w:r>
            <w:r w:rsidR="004B77DA">
              <w:rPr>
                <w:rFonts w:asciiTheme="majorBidi" w:hAnsiTheme="majorBidi" w:cstheme="majorBidi"/>
                <w:iCs/>
                <w:sz w:val="24"/>
                <w:szCs w:val="24"/>
              </w:rPr>
              <w:t xml:space="preserve"> </w:t>
            </w:r>
            <w:r w:rsidR="006B41C1">
              <w:rPr>
                <w:rFonts w:asciiTheme="majorBidi" w:hAnsiTheme="majorBidi" w:cstheme="majorBidi"/>
                <w:iCs/>
                <w:sz w:val="24"/>
                <w:szCs w:val="24"/>
              </w:rPr>
              <w:t>add</w:t>
            </w:r>
            <w:r w:rsidR="008C2BA9" w:rsidRPr="008C2BA9">
              <w:rPr>
                <w:rFonts w:asciiTheme="majorBidi" w:hAnsiTheme="majorBidi" w:cstheme="majorBidi"/>
                <w:iCs/>
                <w:sz w:val="24"/>
                <w:szCs w:val="24"/>
              </w:rPr>
              <w:t xml:space="preserve"> resources </w:t>
            </w:r>
            <w:r w:rsidR="006B41C1">
              <w:rPr>
                <w:rFonts w:asciiTheme="majorBidi" w:hAnsiTheme="majorBidi" w:cstheme="majorBidi"/>
                <w:iCs/>
                <w:sz w:val="24"/>
                <w:szCs w:val="24"/>
              </w:rPr>
              <w:t>that</w:t>
            </w:r>
            <w:r w:rsidR="008C2BA9" w:rsidRPr="008C2BA9">
              <w:rPr>
                <w:rFonts w:asciiTheme="majorBidi" w:hAnsiTheme="majorBidi" w:cstheme="majorBidi"/>
                <w:iCs/>
                <w:sz w:val="24"/>
                <w:szCs w:val="24"/>
              </w:rPr>
              <w:t xml:space="preserve"> </w:t>
            </w:r>
            <w:r w:rsidR="006B41C1">
              <w:rPr>
                <w:rFonts w:asciiTheme="majorBidi" w:hAnsiTheme="majorBidi" w:cstheme="majorBidi"/>
                <w:iCs/>
                <w:sz w:val="24"/>
                <w:szCs w:val="24"/>
              </w:rPr>
              <w:t>colleagues</w:t>
            </w:r>
            <w:r w:rsidR="008C2BA9" w:rsidRPr="008C2BA9">
              <w:rPr>
                <w:rFonts w:asciiTheme="majorBidi" w:hAnsiTheme="majorBidi" w:cstheme="majorBidi"/>
                <w:iCs/>
                <w:sz w:val="24"/>
                <w:szCs w:val="24"/>
              </w:rPr>
              <w:t xml:space="preserve"> </w:t>
            </w:r>
            <w:r w:rsidR="006B41C1">
              <w:rPr>
                <w:rFonts w:asciiTheme="majorBidi" w:hAnsiTheme="majorBidi" w:cstheme="majorBidi"/>
                <w:iCs/>
                <w:sz w:val="24"/>
                <w:szCs w:val="24"/>
              </w:rPr>
              <w:t xml:space="preserve">can use </w:t>
            </w:r>
            <w:r w:rsidR="008C2BA9" w:rsidRPr="008C2BA9">
              <w:rPr>
                <w:rFonts w:asciiTheme="majorBidi" w:hAnsiTheme="majorBidi" w:cstheme="majorBidi"/>
                <w:iCs/>
                <w:sz w:val="24"/>
                <w:szCs w:val="24"/>
              </w:rPr>
              <w:t>to</w:t>
            </w:r>
            <w:r w:rsidR="00D65CFF">
              <w:rPr>
                <w:rFonts w:asciiTheme="majorBidi" w:hAnsiTheme="majorBidi" w:cstheme="majorBidi"/>
                <w:iCs/>
                <w:sz w:val="24"/>
                <w:szCs w:val="24"/>
              </w:rPr>
              <w:t xml:space="preserve"> make new working arrangements work for all</w:t>
            </w:r>
            <w:r w:rsidR="008C2BA9" w:rsidRPr="008C2BA9">
              <w:rPr>
                <w:rFonts w:asciiTheme="majorBidi" w:hAnsiTheme="majorBidi" w:cstheme="majorBidi"/>
                <w:iCs/>
                <w:sz w:val="24"/>
                <w:szCs w:val="24"/>
              </w:rPr>
              <w:t xml:space="preserve"> and to identify gap areas</w:t>
            </w:r>
            <w:r w:rsidR="00D65CFF">
              <w:rPr>
                <w:rFonts w:asciiTheme="majorBidi" w:hAnsiTheme="majorBidi" w:cstheme="majorBidi"/>
                <w:iCs/>
                <w:sz w:val="24"/>
                <w:szCs w:val="24"/>
              </w:rPr>
              <w:t>. A</w:t>
            </w:r>
            <w:r w:rsidR="00D65CFF" w:rsidRPr="008C2BA9">
              <w:rPr>
                <w:rFonts w:asciiTheme="majorBidi" w:hAnsiTheme="majorBidi" w:cstheme="majorBidi"/>
                <w:iCs/>
                <w:sz w:val="24"/>
                <w:szCs w:val="24"/>
              </w:rPr>
              <w:t>ll NSO's are already on this journey</w:t>
            </w:r>
            <w:r w:rsidR="00D65CFF">
              <w:rPr>
                <w:rFonts w:asciiTheme="majorBidi" w:hAnsiTheme="majorBidi" w:cstheme="majorBidi"/>
                <w:iCs/>
                <w:sz w:val="24"/>
                <w:szCs w:val="24"/>
              </w:rPr>
              <w:t xml:space="preserve"> but we </w:t>
            </w:r>
            <w:proofErr w:type="gramStart"/>
            <w:r w:rsidR="00D65CFF">
              <w:rPr>
                <w:rFonts w:asciiTheme="majorBidi" w:hAnsiTheme="majorBidi" w:cstheme="majorBidi"/>
                <w:iCs/>
                <w:sz w:val="24"/>
                <w:szCs w:val="24"/>
              </w:rPr>
              <w:t>have to</w:t>
            </w:r>
            <w:proofErr w:type="gramEnd"/>
            <w:r w:rsidR="008C2BA9" w:rsidRPr="008C2BA9">
              <w:rPr>
                <w:rFonts w:asciiTheme="majorBidi" w:hAnsiTheme="majorBidi" w:cstheme="majorBidi"/>
                <w:iCs/>
                <w:sz w:val="24"/>
                <w:szCs w:val="24"/>
              </w:rPr>
              <w:t xml:space="preserve"> recogniz</w:t>
            </w:r>
            <w:r w:rsidR="00D65CFF">
              <w:rPr>
                <w:rFonts w:asciiTheme="majorBidi" w:hAnsiTheme="majorBidi" w:cstheme="majorBidi"/>
                <w:iCs/>
                <w:sz w:val="24"/>
                <w:szCs w:val="24"/>
              </w:rPr>
              <w:t>e</w:t>
            </w:r>
            <w:r w:rsidR="008C2BA9" w:rsidRPr="008C2BA9">
              <w:rPr>
                <w:rFonts w:asciiTheme="majorBidi" w:hAnsiTheme="majorBidi" w:cstheme="majorBidi"/>
                <w:iCs/>
                <w:sz w:val="24"/>
                <w:szCs w:val="24"/>
              </w:rPr>
              <w:t xml:space="preserve"> that NSOs are </w:t>
            </w:r>
            <w:r w:rsidR="00D65CFF">
              <w:rPr>
                <w:rFonts w:asciiTheme="majorBidi" w:hAnsiTheme="majorBidi" w:cstheme="majorBidi"/>
                <w:iCs/>
                <w:sz w:val="24"/>
                <w:szCs w:val="24"/>
              </w:rPr>
              <w:t xml:space="preserve">at </w:t>
            </w:r>
            <w:r w:rsidR="008C2BA9" w:rsidRPr="008C2BA9">
              <w:rPr>
                <w:rFonts w:asciiTheme="majorBidi" w:hAnsiTheme="majorBidi" w:cstheme="majorBidi"/>
                <w:iCs/>
                <w:sz w:val="24"/>
                <w:szCs w:val="24"/>
              </w:rPr>
              <w:t xml:space="preserve">different stages </w:t>
            </w:r>
            <w:r w:rsidR="00D65CFF">
              <w:rPr>
                <w:rFonts w:asciiTheme="majorBidi" w:hAnsiTheme="majorBidi" w:cstheme="majorBidi"/>
                <w:iCs/>
                <w:sz w:val="24"/>
                <w:szCs w:val="24"/>
              </w:rPr>
              <w:t>i</w:t>
            </w:r>
            <w:r w:rsidR="008C2BA9" w:rsidRPr="008C2BA9">
              <w:rPr>
                <w:rFonts w:asciiTheme="majorBidi" w:hAnsiTheme="majorBidi" w:cstheme="majorBidi"/>
                <w:iCs/>
                <w:sz w:val="24"/>
                <w:szCs w:val="24"/>
              </w:rPr>
              <w:t>n</w:t>
            </w:r>
            <w:r w:rsidR="00D65CFF">
              <w:rPr>
                <w:rFonts w:asciiTheme="majorBidi" w:hAnsiTheme="majorBidi" w:cstheme="majorBidi"/>
                <w:iCs/>
                <w:sz w:val="24"/>
                <w:szCs w:val="24"/>
              </w:rPr>
              <w:t xml:space="preserve"> the</w:t>
            </w:r>
            <w:r w:rsidR="008C2BA9" w:rsidRPr="008C2BA9">
              <w:rPr>
                <w:rFonts w:asciiTheme="majorBidi" w:hAnsiTheme="majorBidi" w:cstheme="majorBidi"/>
                <w:iCs/>
                <w:sz w:val="24"/>
                <w:szCs w:val="24"/>
              </w:rPr>
              <w:t xml:space="preserve"> transition to the future blended work.</w:t>
            </w:r>
            <w:r w:rsidR="00D65CFF">
              <w:rPr>
                <w:rFonts w:asciiTheme="majorBidi" w:hAnsiTheme="majorBidi" w:cstheme="majorBidi"/>
                <w:iCs/>
                <w:sz w:val="24"/>
                <w:szCs w:val="24"/>
              </w:rPr>
              <w:t xml:space="preserve"> </w:t>
            </w:r>
            <w:r w:rsidR="001D1D02">
              <w:rPr>
                <w:rFonts w:asciiTheme="majorBidi" w:hAnsiTheme="majorBidi" w:cstheme="majorBidi"/>
                <w:iCs/>
                <w:sz w:val="24"/>
                <w:szCs w:val="24"/>
              </w:rPr>
              <w:t xml:space="preserve">The goal is to create </w:t>
            </w:r>
            <w:r w:rsidR="007E7ADF">
              <w:rPr>
                <w:rFonts w:asciiTheme="majorBidi" w:hAnsiTheme="majorBidi" w:cstheme="majorBidi"/>
                <w:iCs/>
                <w:sz w:val="24"/>
                <w:szCs w:val="24"/>
              </w:rPr>
              <w:t xml:space="preserve">an </w:t>
            </w:r>
            <w:r w:rsidR="001D1D02">
              <w:rPr>
                <w:rFonts w:asciiTheme="majorBidi" w:hAnsiTheme="majorBidi" w:cstheme="majorBidi"/>
                <w:iCs/>
                <w:sz w:val="24"/>
                <w:szCs w:val="24"/>
              </w:rPr>
              <w:t>on-line repository</w:t>
            </w:r>
            <w:r w:rsidR="00530268">
              <w:rPr>
                <w:rFonts w:asciiTheme="majorBidi" w:hAnsiTheme="majorBidi" w:cstheme="majorBidi"/>
                <w:iCs/>
                <w:sz w:val="24"/>
                <w:szCs w:val="24"/>
              </w:rPr>
              <w:t xml:space="preserve"> of </w:t>
            </w:r>
            <w:r w:rsidR="0070372E">
              <w:rPr>
                <w:rFonts w:asciiTheme="majorBidi" w:hAnsiTheme="majorBidi" w:cstheme="majorBidi"/>
                <w:iCs/>
                <w:sz w:val="24"/>
                <w:szCs w:val="24"/>
              </w:rPr>
              <w:t xml:space="preserve">tools, </w:t>
            </w:r>
            <w:proofErr w:type="gramStart"/>
            <w:r w:rsidR="0070372E">
              <w:rPr>
                <w:rFonts w:asciiTheme="majorBidi" w:hAnsiTheme="majorBidi" w:cstheme="majorBidi"/>
                <w:iCs/>
                <w:sz w:val="24"/>
                <w:szCs w:val="24"/>
              </w:rPr>
              <w:t>examples</w:t>
            </w:r>
            <w:proofErr w:type="gramEnd"/>
            <w:r w:rsidR="0070372E">
              <w:rPr>
                <w:rFonts w:asciiTheme="majorBidi" w:hAnsiTheme="majorBidi" w:cstheme="majorBidi"/>
                <w:iCs/>
                <w:sz w:val="24"/>
                <w:szCs w:val="24"/>
              </w:rPr>
              <w:t xml:space="preserve"> and </w:t>
            </w:r>
            <w:r w:rsidR="009E6B53">
              <w:rPr>
                <w:rFonts w:asciiTheme="majorBidi" w:hAnsiTheme="majorBidi" w:cstheme="majorBidi"/>
                <w:iCs/>
                <w:sz w:val="24"/>
                <w:szCs w:val="24"/>
              </w:rPr>
              <w:t>other material</w:t>
            </w:r>
            <w:r w:rsidR="0070372E">
              <w:rPr>
                <w:rFonts w:asciiTheme="majorBidi" w:hAnsiTheme="majorBidi" w:cstheme="majorBidi"/>
                <w:iCs/>
                <w:sz w:val="24"/>
                <w:szCs w:val="24"/>
              </w:rPr>
              <w:t xml:space="preserve"> </w:t>
            </w:r>
            <w:r w:rsidR="009E6B53">
              <w:rPr>
                <w:rFonts w:asciiTheme="majorBidi" w:hAnsiTheme="majorBidi" w:cstheme="majorBidi"/>
                <w:iCs/>
                <w:sz w:val="24"/>
                <w:szCs w:val="24"/>
              </w:rPr>
              <w:t>to assist NSOs in implementing new flexible working arrangements</w:t>
            </w:r>
            <w:r w:rsidR="00F62F96">
              <w:rPr>
                <w:rFonts w:asciiTheme="majorBidi" w:hAnsiTheme="majorBidi" w:cstheme="majorBidi"/>
                <w:iCs/>
                <w:sz w:val="24"/>
                <w:szCs w:val="24"/>
              </w:rPr>
              <w:t xml:space="preserve"> and to provide guidance in how to use the toolkits. It is not only about providing potential solutions, but the goal is also to raise awareness of issues that might arise and need to be addressed in the next normal working arrangements.</w:t>
            </w:r>
          </w:p>
          <w:p w14:paraId="2C7AFE0A" w14:textId="77777777" w:rsidR="00F373BF" w:rsidRDefault="00F373BF" w:rsidP="00D065C3">
            <w:pPr>
              <w:spacing w:after="120"/>
              <w:rPr>
                <w:rFonts w:asciiTheme="majorBidi" w:hAnsiTheme="majorBidi" w:cstheme="majorBidi"/>
                <w:i/>
                <w:iCs/>
                <w:color w:val="A6A6A6" w:themeColor="background1" w:themeShade="A6"/>
                <w:szCs w:val="24"/>
              </w:rPr>
            </w:pPr>
          </w:p>
        </w:tc>
      </w:tr>
      <w:tr w:rsidR="00F373BF" w14:paraId="252AE4B1" w14:textId="77777777">
        <w:tc>
          <w:tcPr>
            <w:tcW w:w="9974" w:type="dxa"/>
            <w:gridSpan w:val="5"/>
            <w:shd w:val="clear" w:color="auto" w:fill="8DB3E2" w:themeFill="text2" w:themeFillTint="66"/>
          </w:tcPr>
          <w:p w14:paraId="4C243C52" w14:textId="77777777" w:rsidR="00F373BF" w:rsidRDefault="00C913B4">
            <w:pPr>
              <w:rPr>
                <w:rFonts w:asciiTheme="majorBidi" w:hAnsiTheme="majorBidi" w:cstheme="majorBidi"/>
                <w:b/>
                <w:szCs w:val="24"/>
              </w:rPr>
            </w:pPr>
            <w:r>
              <w:rPr>
                <w:rFonts w:asciiTheme="majorBidi" w:hAnsiTheme="majorBidi" w:cstheme="majorBidi"/>
                <w:b/>
                <w:sz w:val="24"/>
                <w:szCs w:val="24"/>
              </w:rPr>
              <w:t>Description of the activity</w:t>
            </w:r>
          </w:p>
        </w:tc>
      </w:tr>
      <w:tr w:rsidR="00F373BF" w14:paraId="2B1A10A4" w14:textId="77777777">
        <w:tc>
          <w:tcPr>
            <w:tcW w:w="9974" w:type="dxa"/>
            <w:gridSpan w:val="5"/>
            <w:shd w:val="clear" w:color="auto" w:fill="auto"/>
          </w:tcPr>
          <w:p w14:paraId="6FB6B7BC" w14:textId="2A74B0A9" w:rsidR="00F373BF" w:rsidRDefault="00046AA4">
            <w:pPr>
              <w:spacing w:after="120"/>
              <w:rPr>
                <w:rFonts w:asciiTheme="majorBidi" w:hAnsiTheme="majorBidi" w:cstheme="majorBidi"/>
                <w:iCs/>
                <w:szCs w:val="24"/>
              </w:rPr>
            </w:pPr>
            <w:r>
              <w:rPr>
                <w:rFonts w:asciiTheme="majorBidi" w:hAnsiTheme="majorBidi" w:cstheme="majorBidi"/>
                <w:iCs/>
                <w:szCs w:val="24"/>
              </w:rPr>
              <w:t xml:space="preserve">Create dedicated wiki pages for the toolkits and other relevant resources, </w:t>
            </w:r>
            <w:r w:rsidR="001071DA">
              <w:rPr>
                <w:rFonts w:asciiTheme="majorBidi" w:hAnsiTheme="majorBidi" w:cstheme="majorBidi"/>
                <w:iCs/>
                <w:szCs w:val="24"/>
              </w:rPr>
              <w:t>guidelines, training materials, etc.</w:t>
            </w:r>
          </w:p>
          <w:p w14:paraId="59AA1EBB" w14:textId="5EC04D31" w:rsidR="00257F87" w:rsidRDefault="00257F87">
            <w:pPr>
              <w:spacing w:after="120"/>
              <w:rPr>
                <w:rFonts w:asciiTheme="majorBidi" w:hAnsiTheme="majorBidi" w:cstheme="majorBidi"/>
                <w:iCs/>
                <w:szCs w:val="24"/>
              </w:rPr>
            </w:pPr>
            <w:r>
              <w:rPr>
                <w:rFonts w:asciiTheme="majorBidi" w:hAnsiTheme="majorBidi" w:cstheme="majorBidi"/>
                <w:iCs/>
                <w:szCs w:val="24"/>
              </w:rPr>
              <w:t>Collect other relevant examples of transitioning t</w:t>
            </w:r>
            <w:r w:rsidR="00D065C3">
              <w:rPr>
                <w:rFonts w:asciiTheme="majorBidi" w:hAnsiTheme="majorBidi" w:cstheme="majorBidi"/>
                <w:iCs/>
                <w:szCs w:val="24"/>
              </w:rPr>
              <w:t>o future blended work</w:t>
            </w:r>
            <w:r>
              <w:rPr>
                <w:rFonts w:asciiTheme="majorBidi" w:hAnsiTheme="majorBidi" w:cstheme="majorBidi"/>
                <w:iCs/>
                <w:szCs w:val="24"/>
              </w:rPr>
              <w:t xml:space="preserve"> in the NSO’s.</w:t>
            </w:r>
          </w:p>
          <w:p w14:paraId="37C2112F" w14:textId="0AC98317" w:rsidR="001071DA" w:rsidRDefault="001071DA">
            <w:pPr>
              <w:spacing w:after="120"/>
              <w:rPr>
                <w:rFonts w:asciiTheme="majorBidi" w:hAnsiTheme="majorBidi" w:cstheme="majorBidi"/>
                <w:iCs/>
                <w:szCs w:val="24"/>
              </w:rPr>
            </w:pPr>
          </w:p>
        </w:tc>
      </w:tr>
      <w:tr w:rsidR="00F373BF" w14:paraId="096F5776" w14:textId="77777777">
        <w:tc>
          <w:tcPr>
            <w:tcW w:w="9974" w:type="dxa"/>
            <w:gridSpan w:val="5"/>
            <w:shd w:val="clear" w:color="auto" w:fill="8DB3E2" w:themeFill="text2" w:themeFillTint="66"/>
          </w:tcPr>
          <w:p w14:paraId="21FD31E1" w14:textId="77777777" w:rsidR="00F373BF" w:rsidRDefault="00C913B4">
            <w:pPr>
              <w:rPr>
                <w:rFonts w:asciiTheme="majorBidi" w:hAnsiTheme="majorBidi" w:cstheme="majorBidi"/>
                <w:b/>
                <w:szCs w:val="24"/>
              </w:rPr>
            </w:pPr>
            <w:r>
              <w:rPr>
                <w:rFonts w:asciiTheme="majorBidi" w:hAnsiTheme="majorBidi" w:cstheme="majorBidi"/>
                <w:b/>
                <w:sz w:val="24"/>
                <w:szCs w:val="24"/>
              </w:rPr>
              <w:t>Alternatives considered</w:t>
            </w:r>
          </w:p>
        </w:tc>
      </w:tr>
      <w:tr w:rsidR="00F373BF" w14:paraId="7F63C776" w14:textId="77777777">
        <w:tc>
          <w:tcPr>
            <w:tcW w:w="9974" w:type="dxa"/>
            <w:gridSpan w:val="5"/>
            <w:shd w:val="clear" w:color="auto" w:fill="auto"/>
          </w:tcPr>
          <w:p w14:paraId="0F7B11BA" w14:textId="77777777" w:rsidR="00F373BF" w:rsidRDefault="00C913B4">
            <w:pPr>
              <w:spacing w:after="240"/>
              <w:rPr>
                <w:rFonts w:asciiTheme="majorBidi" w:hAnsiTheme="majorBidi" w:cstheme="majorBidi"/>
                <w:iCs/>
                <w:color w:val="A6A6A6" w:themeColor="background1" w:themeShade="A6"/>
                <w:szCs w:val="24"/>
              </w:rPr>
            </w:pPr>
            <w:r>
              <w:rPr>
                <w:rFonts w:asciiTheme="majorBidi" w:hAnsiTheme="majorBidi" w:cstheme="majorBidi"/>
                <w:iCs/>
                <w:sz w:val="24"/>
                <w:szCs w:val="24"/>
              </w:rPr>
              <w:t>none</w:t>
            </w:r>
          </w:p>
        </w:tc>
      </w:tr>
      <w:tr w:rsidR="00F373BF" w14:paraId="2A1E258C" w14:textId="77777777">
        <w:tc>
          <w:tcPr>
            <w:tcW w:w="9974" w:type="dxa"/>
            <w:gridSpan w:val="5"/>
            <w:shd w:val="clear" w:color="auto" w:fill="8DB3E2" w:themeFill="text2" w:themeFillTint="66"/>
          </w:tcPr>
          <w:p w14:paraId="31E7F13B" w14:textId="77777777" w:rsidR="00F373BF" w:rsidRDefault="00C913B4">
            <w:pPr>
              <w:rPr>
                <w:rFonts w:asciiTheme="majorBidi" w:hAnsiTheme="majorBidi" w:cstheme="majorBidi"/>
                <w:b/>
                <w:szCs w:val="24"/>
              </w:rPr>
            </w:pPr>
            <w:r>
              <w:rPr>
                <w:rFonts w:asciiTheme="majorBidi" w:hAnsiTheme="majorBidi" w:cstheme="majorBidi"/>
                <w:b/>
                <w:sz w:val="24"/>
                <w:szCs w:val="24"/>
              </w:rPr>
              <w:t>How does it relate to the HLG-MOS vision and other activities under the HLG-MOS?</w:t>
            </w:r>
          </w:p>
        </w:tc>
      </w:tr>
      <w:tr w:rsidR="00F373BF" w14:paraId="69029FEA" w14:textId="77777777">
        <w:trPr>
          <w:trHeight w:val="391"/>
        </w:trPr>
        <w:tc>
          <w:tcPr>
            <w:tcW w:w="9974" w:type="dxa"/>
            <w:gridSpan w:val="5"/>
          </w:tcPr>
          <w:p w14:paraId="61933FC7" w14:textId="77777777" w:rsidR="00F373BF" w:rsidRDefault="00C913B4">
            <w:pPr>
              <w:rPr>
                <w:rFonts w:asciiTheme="majorBidi" w:hAnsiTheme="majorBidi" w:cstheme="majorBidi"/>
                <w:iCs/>
                <w:szCs w:val="24"/>
              </w:rPr>
            </w:pPr>
            <w:r>
              <w:rPr>
                <w:rFonts w:asciiTheme="majorBidi" w:hAnsiTheme="majorBidi" w:cstheme="majorBidi"/>
                <w:iCs/>
                <w:sz w:val="24"/>
                <w:szCs w:val="24"/>
              </w:rPr>
              <w:t xml:space="preserve">This project will align and allow for collaboration across the full suite of current or previous activities. </w:t>
            </w:r>
          </w:p>
        </w:tc>
      </w:tr>
      <w:tr w:rsidR="00F373BF" w14:paraId="1E7DB014" w14:textId="77777777">
        <w:tc>
          <w:tcPr>
            <w:tcW w:w="9974" w:type="dxa"/>
            <w:gridSpan w:val="5"/>
            <w:shd w:val="clear" w:color="auto" w:fill="8DB3E2" w:themeFill="text2" w:themeFillTint="66"/>
          </w:tcPr>
          <w:p w14:paraId="24BDC00E" w14:textId="77777777" w:rsidR="00F373BF" w:rsidRDefault="00C913B4">
            <w:pPr>
              <w:rPr>
                <w:rFonts w:asciiTheme="majorBidi" w:hAnsiTheme="majorBidi" w:cstheme="majorBidi"/>
                <w:b/>
                <w:szCs w:val="24"/>
              </w:rPr>
            </w:pPr>
            <w:r>
              <w:rPr>
                <w:rFonts w:asciiTheme="majorBidi" w:hAnsiTheme="majorBidi" w:cstheme="majorBidi"/>
                <w:b/>
                <w:sz w:val="24"/>
                <w:szCs w:val="24"/>
              </w:rPr>
              <w:t>Proposed start and end dates</w:t>
            </w:r>
          </w:p>
        </w:tc>
      </w:tr>
      <w:tr w:rsidR="00F373BF" w14:paraId="3A6DFA86" w14:textId="77777777">
        <w:tc>
          <w:tcPr>
            <w:tcW w:w="4685" w:type="dxa"/>
            <w:gridSpan w:val="2"/>
          </w:tcPr>
          <w:p w14:paraId="56D8C4AF" w14:textId="36EEF0B3" w:rsidR="00F373BF" w:rsidRDefault="00C913B4">
            <w:pPr>
              <w:rPr>
                <w:rFonts w:asciiTheme="majorBidi" w:hAnsiTheme="majorBidi" w:cstheme="majorBidi"/>
                <w:b/>
                <w:szCs w:val="24"/>
              </w:rPr>
            </w:pPr>
            <w:r>
              <w:rPr>
                <w:rFonts w:asciiTheme="majorBidi" w:hAnsiTheme="majorBidi" w:cstheme="majorBidi"/>
                <w:b/>
                <w:sz w:val="24"/>
                <w:szCs w:val="24"/>
              </w:rPr>
              <w:t xml:space="preserve">Start: </w:t>
            </w:r>
            <w:r>
              <w:rPr>
                <w:rFonts w:asciiTheme="majorBidi" w:hAnsiTheme="majorBidi" w:cstheme="majorBidi"/>
                <w:iCs/>
                <w:sz w:val="24"/>
                <w:szCs w:val="24"/>
              </w:rPr>
              <w:t>January 202</w:t>
            </w:r>
            <w:r w:rsidR="001071DA">
              <w:rPr>
                <w:rFonts w:asciiTheme="majorBidi" w:hAnsiTheme="majorBidi" w:cstheme="majorBidi"/>
                <w:iCs/>
                <w:sz w:val="24"/>
                <w:szCs w:val="24"/>
              </w:rPr>
              <w:t>2</w:t>
            </w:r>
          </w:p>
        </w:tc>
        <w:tc>
          <w:tcPr>
            <w:tcW w:w="5289" w:type="dxa"/>
            <w:gridSpan w:val="3"/>
          </w:tcPr>
          <w:p w14:paraId="54FE4A1C" w14:textId="7171CA47" w:rsidR="00F373BF" w:rsidRDefault="00C913B4">
            <w:pPr>
              <w:rPr>
                <w:rFonts w:asciiTheme="majorBidi" w:hAnsiTheme="majorBidi" w:cstheme="majorBidi"/>
                <w:szCs w:val="24"/>
              </w:rPr>
            </w:pPr>
            <w:r>
              <w:rPr>
                <w:rFonts w:asciiTheme="majorBidi" w:hAnsiTheme="majorBidi" w:cstheme="majorBidi"/>
                <w:b/>
                <w:sz w:val="24"/>
                <w:szCs w:val="24"/>
              </w:rPr>
              <w:t xml:space="preserve">End: </w:t>
            </w:r>
            <w:r>
              <w:rPr>
                <w:rFonts w:asciiTheme="majorBidi" w:hAnsiTheme="majorBidi" w:cstheme="majorBidi"/>
                <w:iCs/>
                <w:sz w:val="24"/>
                <w:szCs w:val="24"/>
              </w:rPr>
              <w:t>December 202</w:t>
            </w:r>
            <w:r w:rsidR="001071DA">
              <w:rPr>
                <w:rFonts w:asciiTheme="majorBidi" w:hAnsiTheme="majorBidi" w:cstheme="majorBidi"/>
                <w:iCs/>
                <w:sz w:val="24"/>
                <w:szCs w:val="24"/>
              </w:rPr>
              <w:t>2</w:t>
            </w:r>
          </w:p>
        </w:tc>
      </w:tr>
    </w:tbl>
    <w:p w14:paraId="2830C52B" w14:textId="77777777" w:rsidR="00F373BF" w:rsidRDefault="00F373BF">
      <w:pPr>
        <w:rPr>
          <w:rFonts w:asciiTheme="majorBidi" w:hAnsiTheme="majorBidi" w:cstheme="majorBidi"/>
          <w:b/>
          <w:sz w:val="24"/>
          <w:szCs w:val="24"/>
        </w:rPr>
      </w:pPr>
    </w:p>
    <w:sectPr w:rsidR="00F373BF">
      <w:pgSz w:w="11906" w:h="16838"/>
      <w:pgMar w:top="1152" w:right="1152" w:bottom="1152" w:left="1152" w:header="0" w:footer="0" w:gutter="0"/>
      <w:cols w:space="720"/>
      <w:formProt w:val="0"/>
      <w:docGrid w:linePitch="360" w:charSpace="40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roman"/>
    <w:pitch w:val="variable"/>
  </w:font>
  <w:font w:name="Microsoft YaHei">
    <w:panose1 w:val="020B0503020204020204"/>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autoHyphenation/>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373BF"/>
    <w:rsid w:val="00046AA4"/>
    <w:rsid w:val="000739D7"/>
    <w:rsid w:val="001071DA"/>
    <w:rsid w:val="001074FF"/>
    <w:rsid w:val="00114865"/>
    <w:rsid w:val="00186F9A"/>
    <w:rsid w:val="001D1D02"/>
    <w:rsid w:val="00257F87"/>
    <w:rsid w:val="002A697D"/>
    <w:rsid w:val="002D3C7D"/>
    <w:rsid w:val="003713B1"/>
    <w:rsid w:val="004B77DA"/>
    <w:rsid w:val="00530268"/>
    <w:rsid w:val="00542B1F"/>
    <w:rsid w:val="00552242"/>
    <w:rsid w:val="00621011"/>
    <w:rsid w:val="006B41C1"/>
    <w:rsid w:val="0070372E"/>
    <w:rsid w:val="00753343"/>
    <w:rsid w:val="007E7ADF"/>
    <w:rsid w:val="00822F19"/>
    <w:rsid w:val="008C2BA9"/>
    <w:rsid w:val="009571CF"/>
    <w:rsid w:val="009B2445"/>
    <w:rsid w:val="009E2C21"/>
    <w:rsid w:val="009E6B53"/>
    <w:rsid w:val="00A42159"/>
    <w:rsid w:val="00A82F57"/>
    <w:rsid w:val="00C30599"/>
    <w:rsid w:val="00C913B4"/>
    <w:rsid w:val="00D065C3"/>
    <w:rsid w:val="00D65CFF"/>
    <w:rsid w:val="00F0484A"/>
    <w:rsid w:val="00F373BF"/>
    <w:rsid w:val="00F62F96"/>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AE0707"/>
  <w15:docId w15:val="{D5A92EB3-80BA-459D-BC62-D82610683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Cs w:val="22"/>
        <w:lang w:val="en-GB"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alloonTextChar">
    <w:name w:val="Balloon Text Char"/>
    <w:basedOn w:val="DefaultParagraphFont"/>
    <w:link w:val="BalloonText"/>
    <w:uiPriority w:val="99"/>
    <w:semiHidden/>
    <w:qFormat/>
    <w:rsid w:val="004551B1"/>
    <w:rPr>
      <w:rFonts w:ascii="Tahoma" w:hAnsi="Tahoma" w:cs="Tahoma"/>
      <w:sz w:val="16"/>
      <w:szCs w:val="16"/>
    </w:rPr>
  </w:style>
  <w:style w:type="character" w:customStyle="1" w:styleId="apple-converted-space">
    <w:name w:val="apple-converted-space"/>
    <w:basedOn w:val="DefaultParagraphFont"/>
    <w:qFormat/>
    <w:rsid w:val="00397639"/>
  </w:style>
  <w:style w:type="character" w:styleId="CommentReference">
    <w:name w:val="annotation reference"/>
    <w:basedOn w:val="DefaultParagraphFont"/>
    <w:uiPriority w:val="99"/>
    <w:semiHidden/>
    <w:unhideWhenUsed/>
    <w:qFormat/>
    <w:rsid w:val="0042690E"/>
    <w:rPr>
      <w:sz w:val="16"/>
      <w:szCs w:val="16"/>
    </w:rPr>
  </w:style>
  <w:style w:type="character" w:customStyle="1" w:styleId="CommentTextChar">
    <w:name w:val="Comment Text Char"/>
    <w:basedOn w:val="DefaultParagraphFont"/>
    <w:link w:val="CommentText"/>
    <w:uiPriority w:val="99"/>
    <w:semiHidden/>
    <w:qFormat/>
    <w:rsid w:val="0042690E"/>
    <w:rPr>
      <w:sz w:val="20"/>
      <w:szCs w:val="20"/>
    </w:rPr>
  </w:style>
  <w:style w:type="character" w:customStyle="1" w:styleId="CommentSubjectChar">
    <w:name w:val="Comment Subject Char"/>
    <w:basedOn w:val="CommentTextChar"/>
    <w:link w:val="CommentSubject"/>
    <w:uiPriority w:val="99"/>
    <w:semiHidden/>
    <w:qFormat/>
    <w:rsid w:val="0042690E"/>
    <w:rPr>
      <w:b/>
      <w:bCs/>
      <w:sz w:val="20"/>
      <w:szCs w:val="20"/>
    </w:rPr>
  </w:style>
  <w:style w:type="character" w:customStyle="1" w:styleId="CollegamentoInternet">
    <w:name w:val="Collegamento Internet"/>
    <w:basedOn w:val="DefaultParagraphFont"/>
    <w:uiPriority w:val="99"/>
    <w:unhideWhenUsed/>
    <w:rsid w:val="005A2F4B"/>
    <w:rPr>
      <w:color w:val="0000FF" w:themeColor="hyperlink"/>
      <w:u w:val="single"/>
    </w:rPr>
  </w:style>
  <w:style w:type="character" w:customStyle="1" w:styleId="HeaderChar">
    <w:name w:val="Header Char"/>
    <w:basedOn w:val="DefaultParagraphFont"/>
    <w:link w:val="Header"/>
    <w:uiPriority w:val="99"/>
    <w:qFormat/>
    <w:rsid w:val="004E4F90"/>
  </w:style>
  <w:style w:type="character" w:customStyle="1" w:styleId="FooterChar">
    <w:name w:val="Footer Char"/>
    <w:basedOn w:val="DefaultParagraphFont"/>
    <w:link w:val="Footer"/>
    <w:uiPriority w:val="99"/>
    <w:qFormat/>
    <w:rsid w:val="004E4F90"/>
  </w:style>
  <w:style w:type="paragraph" w:customStyle="1" w:styleId="Titolo">
    <w:name w:val="Titolo"/>
    <w:basedOn w:val="Normal"/>
    <w:next w:val="BodyText"/>
    <w:qFormat/>
    <w:pPr>
      <w:keepNext/>
      <w:spacing w:before="240" w:after="120"/>
    </w:pPr>
    <w:rPr>
      <w:rFonts w:ascii="Liberation Sans" w:eastAsia="Microsoft YaHei" w:hAnsi="Liberation Sans" w:cs="Arial"/>
      <w:sz w:val="28"/>
      <w:szCs w:val="28"/>
    </w:rPr>
  </w:style>
  <w:style w:type="paragraph" w:styleId="BodyText">
    <w:name w:val="Body Text"/>
    <w:basedOn w:val="Normal"/>
    <w:pPr>
      <w:spacing w:after="140" w:line="276" w:lineRule="auto"/>
    </w:pPr>
  </w:style>
  <w:style w:type="paragraph" w:styleId="List">
    <w:name w:val="List"/>
    <w:basedOn w:val="BodyText"/>
    <w:rPr>
      <w:rFonts w:cs="Arial"/>
    </w:rPr>
  </w:style>
  <w:style w:type="paragraph" w:styleId="Caption">
    <w:name w:val="caption"/>
    <w:basedOn w:val="Normal"/>
    <w:qFormat/>
    <w:pPr>
      <w:suppressLineNumbers/>
      <w:spacing w:before="120" w:after="120"/>
    </w:pPr>
    <w:rPr>
      <w:rFonts w:cs="Arial"/>
      <w:i/>
      <w:iCs/>
      <w:sz w:val="24"/>
      <w:szCs w:val="24"/>
    </w:rPr>
  </w:style>
  <w:style w:type="paragraph" w:customStyle="1" w:styleId="Indice">
    <w:name w:val="Indice"/>
    <w:basedOn w:val="Normal"/>
    <w:qFormat/>
    <w:pPr>
      <w:suppressLineNumbers/>
    </w:pPr>
    <w:rPr>
      <w:rFonts w:cs="Arial"/>
    </w:rPr>
  </w:style>
  <w:style w:type="paragraph" w:styleId="BalloonText">
    <w:name w:val="Balloon Text"/>
    <w:basedOn w:val="Normal"/>
    <w:link w:val="BalloonTextChar"/>
    <w:uiPriority w:val="99"/>
    <w:semiHidden/>
    <w:unhideWhenUsed/>
    <w:qFormat/>
    <w:rsid w:val="004551B1"/>
    <w:rPr>
      <w:rFonts w:ascii="Tahoma" w:hAnsi="Tahoma" w:cs="Tahoma"/>
      <w:sz w:val="16"/>
      <w:szCs w:val="16"/>
    </w:rPr>
  </w:style>
  <w:style w:type="paragraph" w:styleId="ListParagraph">
    <w:name w:val="List Paragraph"/>
    <w:basedOn w:val="Normal"/>
    <w:uiPriority w:val="34"/>
    <w:qFormat/>
    <w:rsid w:val="000507F4"/>
    <w:pPr>
      <w:ind w:left="720"/>
      <w:contextualSpacing/>
    </w:pPr>
    <w:rPr>
      <w:rFonts w:ascii="Calibri" w:hAnsi="Calibri"/>
      <w:sz w:val="24"/>
      <w:lang w:val="en-AU"/>
    </w:rPr>
  </w:style>
  <w:style w:type="paragraph" w:styleId="CommentText">
    <w:name w:val="annotation text"/>
    <w:basedOn w:val="Normal"/>
    <w:link w:val="CommentTextChar"/>
    <w:uiPriority w:val="99"/>
    <w:semiHidden/>
    <w:unhideWhenUsed/>
    <w:qFormat/>
    <w:rsid w:val="0042690E"/>
    <w:rPr>
      <w:sz w:val="20"/>
      <w:szCs w:val="20"/>
    </w:rPr>
  </w:style>
  <w:style w:type="paragraph" w:styleId="CommentSubject">
    <w:name w:val="annotation subject"/>
    <w:basedOn w:val="CommentText"/>
    <w:next w:val="CommentText"/>
    <w:link w:val="CommentSubjectChar"/>
    <w:uiPriority w:val="99"/>
    <w:semiHidden/>
    <w:unhideWhenUsed/>
    <w:qFormat/>
    <w:rsid w:val="0042690E"/>
    <w:rPr>
      <w:b/>
      <w:bCs/>
    </w:rPr>
  </w:style>
  <w:style w:type="paragraph" w:customStyle="1" w:styleId="Intestazioneepidipagina">
    <w:name w:val="Intestazione e piè di pagina"/>
    <w:basedOn w:val="Normal"/>
    <w:qFormat/>
  </w:style>
  <w:style w:type="paragraph" w:styleId="Header">
    <w:name w:val="header"/>
    <w:basedOn w:val="Normal"/>
    <w:link w:val="HeaderChar"/>
    <w:uiPriority w:val="99"/>
    <w:unhideWhenUsed/>
    <w:rsid w:val="004E4F90"/>
    <w:pPr>
      <w:tabs>
        <w:tab w:val="center" w:pos="4513"/>
        <w:tab w:val="right" w:pos="9026"/>
      </w:tabs>
    </w:pPr>
  </w:style>
  <w:style w:type="paragraph" w:styleId="Footer">
    <w:name w:val="footer"/>
    <w:basedOn w:val="Normal"/>
    <w:link w:val="FooterChar"/>
    <w:uiPriority w:val="99"/>
    <w:unhideWhenUsed/>
    <w:rsid w:val="004E4F90"/>
    <w:pPr>
      <w:tabs>
        <w:tab w:val="center" w:pos="4513"/>
        <w:tab w:val="right" w:pos="9026"/>
      </w:tabs>
    </w:pPr>
  </w:style>
  <w:style w:type="paragraph" w:customStyle="1" w:styleId="Contenutotabella">
    <w:name w:val="Contenuto tabella"/>
    <w:basedOn w:val="Normal"/>
    <w:qFormat/>
    <w:pPr>
      <w:suppressLineNumbers/>
    </w:pPr>
  </w:style>
  <w:style w:type="paragraph" w:customStyle="1" w:styleId="Titolotabella">
    <w:name w:val="Titolo tabella"/>
    <w:basedOn w:val="Contenutotabella"/>
    <w:qFormat/>
    <w:pPr>
      <w:jc w:val="center"/>
    </w:pPr>
    <w:rPr>
      <w:b/>
      <w:bCs/>
    </w:rPr>
  </w:style>
  <w:style w:type="table" w:styleId="TableGrid">
    <w:name w:val="Table Grid"/>
    <w:basedOn w:val="TableNormal"/>
    <w:uiPriority w:val="59"/>
    <w:rsid w:val="000507F4"/>
    <w:rPr>
      <w:sz w:val="24"/>
      <w:lang w:val="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7E7ADF"/>
    <w:pPr>
      <w:suppressAutoHyphens w:val="0"/>
    </w:pPr>
    <w:rPr>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image" Target="media/image1.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C00F2F1E960B64FAC22A58E2A2AE8B9" ma:contentTypeVersion="32" ma:contentTypeDescription="Create a new document." ma:contentTypeScope="" ma:versionID="8410153428fc3123787de9d6d2669ea5">
  <xsd:schema xmlns:xsd="http://www.w3.org/2001/XMLSchema" xmlns:xs="http://www.w3.org/2001/XMLSchema" xmlns:p="http://schemas.microsoft.com/office/2006/metadata/properties" xmlns:ns2="dd774590-caf2-40ff-b04f-1e20d86f2c70" xmlns:ns3="c39ac8e3-0f08-4b7d-bd41-28055cb5e628" xmlns:ns4="985ec44e-1bab-4c0b-9df0-6ba128686fc9" targetNamespace="http://schemas.microsoft.com/office/2006/metadata/properties" ma:root="true" ma:fieldsID="a6a54b38891a12f852498b6efb1b8206" ns2:_="" ns3:_="" ns4:_="">
    <xsd:import namespace="dd774590-caf2-40ff-b04f-1e20d86f2c70"/>
    <xsd:import namespace="c39ac8e3-0f08-4b7d-bd41-28055cb5e628"/>
    <xsd:import namespace="985ec44e-1bab-4c0b-9df0-6ba128686fc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2:SharedWithUsers" minOccurs="0"/>
                <xsd:element ref="ns2:SharedWithDetails" minOccurs="0"/>
                <xsd:element ref="ns3:MediaServiceLocation" minOccurs="0"/>
                <xsd:element ref="ns2:TaxKeywordTaxHTField" minOccurs="0"/>
                <xsd:element ref="ns4:TaxCatchAll" minOccurs="0"/>
                <xsd:element ref="ns3:Category"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774590-caf2-40ff-b04f-1e20d86f2c70" elementFormDefault="qualified">
    <xsd:import namespace="http://schemas.microsoft.com/office/2006/documentManagement/types"/>
    <xsd:import namespace="http://schemas.microsoft.com/office/infopath/2007/PartnerControls"/>
    <xsd:element name="SharedWithUsers" ma:index="15" nillable="true" ma:displayName="Shared With" ma:hidden="tru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hidden="true" ma:internalName="SharedWithDetails" ma:readOnly="true">
      <xsd:simpleType>
        <xsd:restriction base="dms:Note"/>
      </xsd:simpleType>
    </xsd:element>
    <xsd:element name="TaxKeywordTaxHTField" ma:index="21" nillable="true" ma:taxonomy="true" ma:internalName="TaxKeywordTaxHTField" ma:taxonomyFieldName="TaxKeyword" ma:displayName="Enterprise Keywords" ma:readOnly="false" ma:fieldId="{23f27201-bee3-471e-b2e7-b64fd8b7ca38}" ma:taxonomyMulti="true" ma:sspId="78175662-8596-484a-92c7-351d01561e22" ma:termSetId="00000000-0000-0000-0000-000000000000" ma:anchorId="00000000-0000-0000-0000-000000000000" ma:open="true" ma:isKeyword="tru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c39ac8e3-0f08-4b7d-bd41-28055cb5e628" elementFormDefault="qualified">
    <xsd:import namespace="http://schemas.microsoft.com/office/2006/documentManagement/types"/>
    <xsd:import namespace="http://schemas.microsoft.com/office/infopath/2007/PartnerControls"/>
    <xsd:element name="MediaServiceMetadata" ma:index="6" nillable="true" ma:displayName="MediaServiceMetadata" ma:hidden="true" ma:internalName="MediaServiceMetadata" ma:readOnly="true">
      <xsd:simpleType>
        <xsd:restriction base="dms:Note"/>
      </xsd:simpleType>
    </xsd:element>
    <xsd:element name="MediaServiceFastMetadata" ma:index="7" nillable="true" ma:displayName="MediaServiceFastMetadata" ma:hidden="true" ma:internalName="MediaServiceFastMetadata" ma:readOnly="true">
      <xsd:simpleType>
        <xsd:restriction base="dms:Note"/>
      </xsd:simpleType>
    </xsd:element>
    <xsd:element name="MediaServiceAutoKeyPoints" ma:index="8" nillable="true" ma:displayName="MediaServiceAutoKeyPoints" ma:hidden="true" ma:internalName="MediaServiceAutoKeyPoints" ma:readOnly="true">
      <xsd:simpleType>
        <xsd:restriction base="dms:Note"/>
      </xsd:simpleType>
    </xsd:element>
    <xsd:element name="MediaServiceKeyPoints" ma:index="9" nillable="true" ma:displayName="KeyPoints" ma:hidden="true" ma:internalName="MediaServiceKeyPoints" ma:readOnly="true">
      <xsd:simpleType>
        <xsd:restriction base="dms:Note"/>
      </xsd:simpleType>
    </xsd:element>
    <xsd:element name="MediaServiceAutoTags" ma:index="10" nillable="true" ma:displayName="Tags" ma:description="" ma:hidden="true" ma:indexed="true" ma:internalName="MediaServiceAutoTags" ma:readOnly="true">
      <xsd:simpleType>
        <xsd:restriction base="dms:Text"/>
      </xsd:simpleType>
    </xsd:element>
    <xsd:element name="MediaServiceOCR" ma:index="11" nillable="true" ma:displayName="Extracted Text" ma:hidden="true" ma:internalName="MediaServiceOCR" ma:readOnly="true">
      <xsd:simpleType>
        <xsd:restriction base="dms:Note"/>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9" nillable="true" ma:displayName="Location" ma:hidden="true" ma:internalName="MediaServiceLocation" ma:readOnly="true">
      <xsd:simpleType>
        <xsd:restriction base="dms:Text"/>
      </xsd:simpleType>
    </xsd:element>
    <xsd:element name="Category" ma:index="24" nillable="true" ma:displayName="Category" ma:format="Dropdown" ma:internalName="Category">
      <xsd:simpleType>
        <xsd:restriction base="dms:Text">
          <xsd:maxLength value="255"/>
        </xsd:restriction>
      </xsd:simpleType>
    </xsd:element>
    <xsd:element name="MediaLengthInSeconds" ma:index="27"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e719dce3-84fe-4056-94cd-88c297797000}" ma:internalName="TaxCatchAll" ma:readOnly="false" ma:showField="CatchAllData" ma:web="dd774590-caf2-40ff-b04f-1e20d86f2c7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ma:index="23" ma:displayName="Subject"/>
        <xsd:element ref="dc:description" minOccurs="0" maxOccurs="1" ma:index="25" ma:displayName="Comments"/>
        <xsd:element name="keywords" minOccurs="0" maxOccurs="1" type="xsd:string"/>
        <xsd:element ref="dc:language" minOccurs="0" maxOccurs="1"/>
        <xsd:element name="category" minOccurs="0" maxOccurs="1" type="xsd:string" ma:index="26" ma:displayName="Category"/>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985ec44e-1bab-4c0b-9df0-6ba128686fc9">
      <Value>489</Value>
      <Value>1206</Value>
      <Value>3004</Value>
    </TaxCatchAll>
    <TaxKeywordTaxHTField xmlns="dd774590-caf2-40ff-b04f-1e20d86f2c70">
      <Terms xmlns="http://schemas.microsoft.com/office/infopath/2007/PartnerControls">
        <TermInfo xmlns="http://schemas.microsoft.com/office/infopath/2007/PartnerControls">
          <TermName xmlns="http://schemas.microsoft.com/office/infopath/2007/PartnerControls">SMMU</TermName>
          <TermId xmlns="http://schemas.microsoft.com/office/infopath/2007/PartnerControls">5e9f697a-141a-4514-921e-ceb815d55e6d</TermId>
        </TermInfo>
        <TermInfo xmlns="http://schemas.microsoft.com/office/infopath/2007/PartnerControls">
          <TermName xmlns="http://schemas.microsoft.com/office/infopath/2007/PartnerControls">modernstats</TermName>
          <TermId xmlns="http://schemas.microsoft.com/office/infopath/2007/PartnerControls">94b70401-9829-4e65-9ad6-1fa04469d1b3</TermId>
        </TermInfo>
        <TermInfo xmlns="http://schemas.microsoft.com/office/infopath/2007/PartnerControls">
          <TermName xmlns="http://schemas.microsoft.com/office/infopath/2007/PartnerControls">HLG2020</TermName>
          <TermId xmlns="http://schemas.microsoft.com/office/infopath/2007/PartnerControls">c534e483-5c34-4f7e-8852-583409458f69</TermId>
        </TermInfo>
      </Terms>
    </TaxKeywordTaxHTField>
    <Category xmlns="c39ac8e3-0f08-4b7d-bd41-28055cb5e62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4D9019A-7154-4D7D-98FA-0DE153D17F5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774590-caf2-40ff-b04f-1e20d86f2c70"/>
    <ds:schemaRef ds:uri="c39ac8e3-0f08-4b7d-bd41-28055cb5e628"/>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B4ED8D2-69F3-470D-A525-8E43C5A468D4}">
  <ds:schemaRefs>
    <ds:schemaRef ds:uri="http://schemas.microsoft.com/office/2006/metadata/properties"/>
    <ds:schemaRef ds:uri="http://schemas.microsoft.com/office/infopath/2007/PartnerControls"/>
    <ds:schemaRef ds:uri="985ec44e-1bab-4c0b-9df0-6ba128686fc9"/>
    <ds:schemaRef ds:uri="dd774590-caf2-40ff-b04f-1e20d86f2c70"/>
    <ds:schemaRef ds:uri="c39ac8e3-0f08-4b7d-bd41-28055cb5e628"/>
  </ds:schemaRefs>
</ds:datastoreItem>
</file>

<file path=customXml/itemProps3.xml><?xml version="1.0" encoding="utf-8"?>
<ds:datastoreItem xmlns:ds="http://schemas.openxmlformats.org/officeDocument/2006/customXml" ds:itemID="{C3E95CEE-84C4-4F63-AB8C-76DDCF8F846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363</Words>
  <Characters>2072</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UNECE</Company>
  <LinksUpToDate>false</LinksUpToDate>
  <CharactersWithSpaces>2431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dc:creator>
  <cp:keywords>HLG2020; SMMU; ModernStats</cp:keywords>
  <dc:description/>
  <cp:lastModifiedBy>Tetyana Kolomiyets</cp:lastModifiedBy>
  <cp:revision>4</cp:revision>
  <cp:lastPrinted>2020-11-17T19:40:00Z</cp:lastPrinted>
  <dcterms:created xsi:type="dcterms:W3CDTF">2021-11-11T06:47:00Z</dcterms:created>
  <dcterms:modified xsi:type="dcterms:W3CDTF">2021-11-12T16:17:00Z</dcterms:modified>
  <cp:category>activity proposal</cp:category>
  <dc:language>it-IT</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UNECE</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0x010100AC00F2F1E960B64FAC22A58E2A2AE8B9</vt:lpwstr>
  </property>
  <property fmtid="{D5CDD505-2E9C-101B-9397-08002B2CF9AE}" pid="10" name="TaxKeyword">
    <vt:lpwstr>489;#SMMU|5e9f697a-141a-4514-921e-ceb815d55e6d;#1206;#modernstats|94b70401-9829-4e65-9ad6-1fa04469d1b3;#3004;#HLG2020|c534e483-5c34-4f7e-8852-583409458f69</vt:lpwstr>
  </property>
</Properties>
</file>