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625BF" w14:textId="5DBE52C2" w:rsidR="00172450" w:rsidRPr="00172450" w:rsidRDefault="00172450" w:rsidP="00172450">
      <w:r w:rsidRPr="00172450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33A55887" wp14:editId="69420503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</w:r>
      <w:r w:rsidR="00FC1B01">
        <w:rPr>
          <w:rFonts w:ascii="Calibri" w:hAnsi="Calibri"/>
          <w:b/>
          <w:sz w:val="28"/>
          <w:szCs w:val="28"/>
          <w:lang w:val="en-US"/>
        </w:rPr>
        <w:t xml:space="preserve">Modernisation </w:t>
      </w:r>
      <w:r>
        <w:rPr>
          <w:rFonts w:ascii="Calibri" w:hAnsi="Calibri"/>
          <w:b/>
          <w:sz w:val="28"/>
          <w:szCs w:val="28"/>
          <w:lang w:val="en-US"/>
        </w:rPr>
        <w:t>of Official Statistics</w:t>
      </w:r>
    </w:p>
    <w:p w14:paraId="0FC30906" w14:textId="77777777" w:rsidR="00172450" w:rsidRDefault="00172450"/>
    <w:p w14:paraId="483DEF97" w14:textId="1D999623" w:rsidR="00172450" w:rsidRDefault="001C6F24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 w:eastAsia="zh-CN"/>
        </w:rPr>
      </w:pPr>
      <w:r>
        <w:rPr>
          <w:rFonts w:ascii="Calibri" w:hAnsi="Calibri"/>
          <w:b/>
          <w:sz w:val="28"/>
          <w:szCs w:val="28"/>
          <w:lang w:val="en-US"/>
        </w:rPr>
        <w:t>Business case</w:t>
      </w:r>
      <w:r w:rsidR="00172450">
        <w:rPr>
          <w:rFonts w:ascii="Calibri" w:hAnsi="Calibri"/>
          <w:b/>
          <w:sz w:val="28"/>
          <w:szCs w:val="28"/>
          <w:lang w:val="en-US"/>
        </w:rPr>
        <w:t xml:space="preserve"> </w:t>
      </w:r>
      <w:r w:rsidR="00172450" w:rsidRPr="00CD4A5E">
        <w:rPr>
          <w:rFonts w:ascii="Calibri" w:hAnsi="Calibri"/>
          <w:b/>
          <w:sz w:val="28"/>
          <w:szCs w:val="28"/>
          <w:lang w:val="en-US"/>
        </w:rPr>
        <w:t xml:space="preserve">for </w:t>
      </w:r>
      <w:r w:rsidR="00FC1B01">
        <w:rPr>
          <w:rFonts w:ascii="Calibri" w:hAnsi="Calibri"/>
          <w:b/>
          <w:sz w:val="28"/>
          <w:szCs w:val="28"/>
          <w:lang w:val="en-US"/>
        </w:rPr>
        <w:t xml:space="preserve">Statistical </w:t>
      </w:r>
      <w:r w:rsidR="00D21AE5">
        <w:rPr>
          <w:rFonts w:ascii="Calibri" w:hAnsi="Calibri"/>
          <w:b/>
          <w:sz w:val="28"/>
          <w:szCs w:val="28"/>
          <w:lang w:val="en-US"/>
        </w:rPr>
        <w:t>Methodology Architecture Project</w:t>
      </w:r>
    </w:p>
    <w:p w14:paraId="0B1D477B" w14:textId="77777777" w:rsidR="00172450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14:paraId="632CA2B4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E211" w14:textId="23F6522F" w:rsidR="00172450" w:rsidRPr="004E79C1" w:rsidRDefault="004551B1" w:rsidP="00E131DA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This business case </w:t>
            </w:r>
            <w:proofErr w:type="gramStart"/>
            <w:r>
              <w:rPr>
                <w:rFonts w:cstheme="minorHAnsi"/>
                <w:lang w:val="en-US"/>
              </w:rPr>
              <w:t>was prepared</w:t>
            </w:r>
            <w:proofErr w:type="gramEnd"/>
            <w:r>
              <w:rPr>
                <w:rFonts w:cstheme="minorHAnsi"/>
                <w:lang w:val="en-US"/>
              </w:rPr>
              <w:t xml:space="preserve"> by</w:t>
            </w:r>
            <w:r w:rsidR="0093771B">
              <w:rPr>
                <w:rFonts w:cstheme="minorHAnsi"/>
                <w:lang w:val="en-US"/>
              </w:rPr>
              <w:t xml:space="preserve"> </w:t>
            </w:r>
            <w:r w:rsidR="00FC1B01">
              <w:rPr>
                <w:rFonts w:cstheme="minorHAnsi"/>
                <w:lang w:val="en-US"/>
              </w:rPr>
              <w:t xml:space="preserve">the Office of National Statistics (UK), </w:t>
            </w:r>
            <w:proofErr w:type="spellStart"/>
            <w:r w:rsidR="00E131DA">
              <w:rPr>
                <w:rFonts w:cstheme="minorHAnsi"/>
                <w:lang w:val="en-US"/>
              </w:rPr>
              <w:t>StatsNZ</w:t>
            </w:r>
            <w:proofErr w:type="spellEnd"/>
            <w:r w:rsidR="00E131DA">
              <w:rPr>
                <w:rFonts w:cstheme="minorHAnsi"/>
                <w:lang w:val="en-US"/>
              </w:rPr>
              <w:t xml:space="preserve">, </w:t>
            </w:r>
            <w:r w:rsidR="00FC1B01">
              <w:rPr>
                <w:rFonts w:cstheme="minorHAnsi"/>
                <w:lang w:val="en-US"/>
              </w:rPr>
              <w:t xml:space="preserve">Statistics Norway and </w:t>
            </w:r>
            <w:r w:rsidR="00E131DA">
              <w:rPr>
                <w:rFonts w:cstheme="minorHAnsi"/>
                <w:lang w:val="en-US"/>
              </w:rPr>
              <w:t>Statistics Sweden</w:t>
            </w:r>
            <w:r w:rsidRPr="00CD4A5E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and is submitted to the HLG-MOS for their approval.</w:t>
            </w:r>
          </w:p>
        </w:tc>
      </w:tr>
    </w:tbl>
    <w:p w14:paraId="426ACF66" w14:textId="77777777" w:rsidR="004551B1" w:rsidRPr="00351862" w:rsidRDefault="004551B1">
      <w:pPr>
        <w:rPr>
          <w:sz w:val="16"/>
          <w:szCs w:val="16"/>
        </w:rPr>
      </w:pPr>
    </w:p>
    <w:p w14:paraId="16A34723" w14:textId="77777777" w:rsidR="000507F4" w:rsidRPr="00351862" w:rsidRDefault="000507F4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456"/>
        <w:gridCol w:w="147"/>
        <w:gridCol w:w="35"/>
        <w:gridCol w:w="436"/>
        <w:gridCol w:w="8901"/>
      </w:tblGrid>
      <w:tr w:rsidR="000507F4" w:rsidRPr="00350F7F" w14:paraId="65289236" w14:textId="77777777" w:rsidTr="001C6C8A">
        <w:tc>
          <w:tcPr>
            <w:tcW w:w="9975" w:type="dxa"/>
            <w:gridSpan w:val="5"/>
            <w:shd w:val="clear" w:color="auto" w:fill="8DB3E2" w:themeFill="text2" w:themeFillTint="66"/>
          </w:tcPr>
          <w:p w14:paraId="10ECBD58" w14:textId="77777777" w:rsidR="000507F4" w:rsidRPr="004E79C1" w:rsidRDefault="00A77F79" w:rsidP="00B37656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 xml:space="preserve">1 </w:t>
            </w:r>
            <w:r w:rsidRPr="00A77F79">
              <w:rPr>
                <w:rFonts w:asciiTheme="minorHAnsi" w:hAnsiTheme="minorHAnsi"/>
                <w:b/>
                <w:szCs w:val="24"/>
              </w:rPr>
              <w:t>P</w:t>
            </w:r>
            <w:r w:rsidR="00351862"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0507F4" w:rsidRPr="00350F7F" w14:paraId="358513B4" w14:textId="77777777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607E1920" w14:textId="77777777" w:rsidR="00115013" w:rsidRDefault="00115013" w:rsidP="006C0011"/>
          <w:p w14:paraId="6096D5F6" w14:textId="6B57380E" w:rsidR="00115013" w:rsidRDefault="00115013" w:rsidP="006C0011">
            <w:r>
              <w:t>Statistical methods refer to how statistical activities</w:t>
            </w:r>
            <w:r w:rsidR="0080305C">
              <w:t xml:space="preserve"> </w:t>
            </w:r>
            <w:proofErr w:type="gramStart"/>
            <w:r w:rsidR="0080305C">
              <w:t>are carried out</w:t>
            </w:r>
            <w:proofErr w:type="gramEnd"/>
            <w:r>
              <w:t xml:space="preserve">. They </w:t>
            </w:r>
            <w:proofErr w:type="gramStart"/>
            <w:r>
              <w:t>are used</w:t>
            </w:r>
            <w:proofErr w:type="gramEnd"/>
            <w:r>
              <w:t xml:space="preserve"> </w:t>
            </w:r>
            <w:r w:rsidR="0017523A">
              <w:t>in both</w:t>
            </w:r>
            <w:r>
              <w:t xml:space="preserve"> statistical production, as well as statistical design and analysis and are key to describe how statistical products are conceived and </w:t>
            </w:r>
            <w:r w:rsidR="00E131DA">
              <w:t>produced</w:t>
            </w:r>
            <w:r>
              <w:t xml:space="preserve">. </w:t>
            </w:r>
          </w:p>
          <w:p w14:paraId="159B2971" w14:textId="77777777" w:rsidR="00D21AE5" w:rsidRDefault="00D21AE5" w:rsidP="006C0011"/>
          <w:p w14:paraId="7C919D2D" w14:textId="77777777" w:rsidR="00115013" w:rsidRDefault="00115013" w:rsidP="006C0011">
            <w:r>
              <w:t xml:space="preserve">Methodology architecture is needed to: </w:t>
            </w:r>
          </w:p>
          <w:p w14:paraId="7947D256" w14:textId="27A875E9" w:rsidR="00115013" w:rsidRDefault="00115013" w:rsidP="006C0011">
            <w:r>
              <w:t xml:space="preserve">• Explain </w:t>
            </w:r>
            <w:r w:rsidR="0080305C">
              <w:t xml:space="preserve">how statistics are produced </w:t>
            </w:r>
            <w:r>
              <w:t xml:space="preserve">to external users </w:t>
            </w:r>
          </w:p>
          <w:p w14:paraId="535D2B58" w14:textId="0C0E57BE" w:rsidR="00115013" w:rsidRDefault="00115013" w:rsidP="006C0011">
            <w:r>
              <w:t xml:space="preserve">• Provide common language within </w:t>
            </w:r>
            <w:r w:rsidR="00E131DA">
              <w:t xml:space="preserve">and </w:t>
            </w:r>
            <w:r>
              <w:t xml:space="preserve">across NSOs </w:t>
            </w:r>
          </w:p>
          <w:p w14:paraId="3854C3C8" w14:textId="1D48C1CF" w:rsidR="00115013" w:rsidRDefault="00115013" w:rsidP="006C0011">
            <w:r>
              <w:t xml:space="preserve">• Interface between </w:t>
            </w:r>
            <w:r w:rsidR="004F3424">
              <w:t xml:space="preserve">statistical </w:t>
            </w:r>
            <w:r>
              <w:t xml:space="preserve">methodologists </w:t>
            </w:r>
            <w:r w:rsidR="00E131DA">
              <w:t xml:space="preserve">and </w:t>
            </w:r>
            <w:r>
              <w:t xml:space="preserve">other roles </w:t>
            </w:r>
          </w:p>
          <w:p w14:paraId="26E7B051" w14:textId="0B3FD501" w:rsidR="00115013" w:rsidRDefault="00115013" w:rsidP="006C0011">
            <w:r>
              <w:t xml:space="preserve">• Support statistical production </w:t>
            </w:r>
            <w:r w:rsidR="00E131DA">
              <w:t xml:space="preserve">and secondary </w:t>
            </w:r>
            <w:r>
              <w:t xml:space="preserve">data analysis </w:t>
            </w:r>
          </w:p>
          <w:p w14:paraId="2163D30B" w14:textId="77777777" w:rsidR="00115013" w:rsidRDefault="00115013" w:rsidP="006C0011">
            <w:r>
              <w:t xml:space="preserve">• Facilitate interoperability </w:t>
            </w:r>
          </w:p>
          <w:p w14:paraId="0DA408A4" w14:textId="77777777" w:rsidR="00115013" w:rsidRDefault="00115013" w:rsidP="006C0011">
            <w:r>
              <w:t xml:space="preserve">• Support statistical corporate memory </w:t>
            </w:r>
          </w:p>
          <w:p w14:paraId="68EC4588" w14:textId="384D51B1" w:rsidR="00D21AE5" w:rsidRPr="00E131DA" w:rsidRDefault="00115013" w:rsidP="006C0011">
            <w:pPr>
              <w:rPr>
                <w:lang w:val="en-GB"/>
              </w:rPr>
            </w:pPr>
            <w:r>
              <w:t>• Plan statistical methodology development</w:t>
            </w:r>
            <w:r w:rsidR="00E131DA">
              <w:t>,</w:t>
            </w:r>
            <w:r>
              <w:t xml:space="preserve"> support</w:t>
            </w:r>
            <w:r w:rsidR="00E131DA">
              <w:rPr>
                <w:lang w:val="en-GB"/>
              </w:rPr>
              <w:t xml:space="preserve"> and training</w:t>
            </w:r>
          </w:p>
          <w:p w14:paraId="4B3456F6" w14:textId="77777777" w:rsidR="00115013" w:rsidRDefault="00115013" w:rsidP="006C0011">
            <w:pPr>
              <w:rPr>
                <w:szCs w:val="24"/>
              </w:rPr>
            </w:pPr>
          </w:p>
          <w:p w14:paraId="31F8EC11" w14:textId="47767EAE" w:rsidR="00115013" w:rsidRPr="00F658B9" w:rsidRDefault="00115013" w:rsidP="00E131DA">
            <w:r>
              <w:t xml:space="preserve">Methodology Architecture </w:t>
            </w:r>
            <w:r w:rsidR="00E131DA">
              <w:t xml:space="preserve">contributes to </w:t>
            </w:r>
            <w:r>
              <w:t xml:space="preserve">a common strategy, vocabulary and vision for business capability across the organisation/community. </w:t>
            </w:r>
          </w:p>
        </w:tc>
      </w:tr>
      <w:tr w:rsidR="00CE0BD2" w:rsidRPr="00350F7F" w14:paraId="53EC34E6" w14:textId="77777777" w:rsidTr="001C6C8A">
        <w:tc>
          <w:tcPr>
            <w:tcW w:w="9975" w:type="dxa"/>
            <w:gridSpan w:val="5"/>
            <w:shd w:val="clear" w:color="auto" w:fill="8DB3E2" w:themeFill="text2" w:themeFillTint="66"/>
          </w:tcPr>
          <w:p w14:paraId="4D51BDD3" w14:textId="77777777" w:rsidR="00CE0BD2" w:rsidRPr="004E79C1" w:rsidRDefault="00CE0BD2" w:rsidP="00FD229A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2 Description of the activity</w:t>
            </w:r>
          </w:p>
        </w:tc>
      </w:tr>
      <w:tr w:rsidR="00CE0BD2" w:rsidRPr="00350F7F" w14:paraId="78A92F6B" w14:textId="77777777" w:rsidTr="005326AD">
        <w:tc>
          <w:tcPr>
            <w:tcW w:w="9975" w:type="dxa"/>
            <w:gridSpan w:val="5"/>
            <w:shd w:val="clear" w:color="auto" w:fill="auto"/>
          </w:tcPr>
          <w:p w14:paraId="27B62EF4" w14:textId="4C86AFC3" w:rsidR="00F658B9" w:rsidRDefault="00F54CA9" w:rsidP="00260ACA">
            <w:r w:rsidRPr="00F658B9">
              <w:t>The proposed activity is to create a</w:t>
            </w:r>
            <w:r w:rsidR="00B55C7B">
              <w:t xml:space="preserve"> categorisation </w:t>
            </w:r>
            <w:r w:rsidRPr="00F658B9">
              <w:t xml:space="preserve">of methods </w:t>
            </w:r>
            <w:r w:rsidR="008D76EF">
              <w:t>used within the GSBPM</w:t>
            </w:r>
            <w:r w:rsidRPr="00F658B9">
              <w:t>.</w:t>
            </w:r>
            <w:r w:rsidR="00D21AE5" w:rsidRPr="00F658B9">
              <w:t xml:space="preserve"> </w:t>
            </w:r>
            <w:r w:rsidR="008D76EF">
              <w:t xml:space="preserve">It should include machine learning and data science methods if they </w:t>
            </w:r>
            <w:proofErr w:type="gramStart"/>
            <w:r w:rsidR="008D76EF">
              <w:t>are used</w:t>
            </w:r>
            <w:proofErr w:type="gramEnd"/>
            <w:r w:rsidR="008D76EF">
              <w:t xml:space="preserve"> for the production of official statistics. </w:t>
            </w:r>
            <w:r w:rsidR="00F658B9">
              <w:t>The work involved includes:</w:t>
            </w:r>
          </w:p>
          <w:p w14:paraId="2AACA6E6" w14:textId="4CF6F5FC" w:rsidR="00B55C7B" w:rsidRDefault="00B55C7B" w:rsidP="00260ACA"/>
          <w:p w14:paraId="52076787" w14:textId="4D9ADB0E" w:rsidR="00B55C7B" w:rsidRPr="008D76EF" w:rsidRDefault="00B55C7B" w:rsidP="00260ACA">
            <w:pPr>
              <w:rPr>
                <w:b/>
              </w:rPr>
            </w:pPr>
            <w:r w:rsidRPr="008D76EF">
              <w:rPr>
                <w:b/>
              </w:rPr>
              <w:t xml:space="preserve">Activity </w:t>
            </w:r>
            <w:r w:rsidR="008D76EF" w:rsidRPr="008D76EF">
              <w:rPr>
                <w:b/>
              </w:rPr>
              <w:t>1</w:t>
            </w:r>
            <w:r w:rsidRPr="008D76EF">
              <w:rPr>
                <w:b/>
              </w:rPr>
              <w:t xml:space="preserve">: </w:t>
            </w:r>
            <w:r w:rsidR="00EC3E0D" w:rsidRPr="008D76EF">
              <w:rPr>
                <w:b/>
              </w:rPr>
              <w:t>Categorisation of methods</w:t>
            </w:r>
          </w:p>
          <w:p w14:paraId="4D037794" w14:textId="03878A9F" w:rsidR="00F658B9" w:rsidRDefault="00F658B9" w:rsidP="00B55C7B">
            <w:r>
              <w:t xml:space="preserve">Creation and agreement of the </w:t>
            </w:r>
            <w:r w:rsidR="00EC3E0D">
              <w:t xml:space="preserve">categorisation </w:t>
            </w:r>
            <w:r w:rsidR="00EC3E0D" w:rsidRPr="00F658B9">
              <w:t>of methods</w:t>
            </w:r>
            <w:r w:rsidRPr="00F658B9">
              <w:t xml:space="preserve"> for official statistics</w:t>
            </w:r>
            <w:r w:rsidR="0017523A">
              <w:t xml:space="preserve">. This will form a tree structure to understand and place the different topic areas in methodology. </w:t>
            </w:r>
            <w:r w:rsidR="008D76EF">
              <w:t>There are several options for categorising methods:</w:t>
            </w:r>
          </w:p>
          <w:p w14:paraId="01DDB9A7" w14:textId="62007491" w:rsidR="008D76EF" w:rsidRPr="008D76EF" w:rsidRDefault="008D76EF" w:rsidP="008D76EF">
            <w:pPr>
              <w:pStyle w:val="ListParagraph"/>
              <w:numPr>
                <w:ilvl w:val="0"/>
                <w:numId w:val="19"/>
              </w:numPr>
            </w:pPr>
            <w:r w:rsidRPr="008D76EF">
              <w:t>'rational' mutually exclusive family tree of methods</w:t>
            </w:r>
          </w:p>
          <w:p w14:paraId="4684D763" w14:textId="3FD317B8" w:rsidR="008D76EF" w:rsidRPr="008D76EF" w:rsidRDefault="008D76EF" w:rsidP="008D76EF">
            <w:pPr>
              <w:pStyle w:val="ListParagraph"/>
              <w:numPr>
                <w:ilvl w:val="0"/>
                <w:numId w:val="19"/>
              </w:numPr>
            </w:pPr>
            <w:r w:rsidRPr="008D76EF">
              <w:t>a series of business problems the statistician want to solve</w:t>
            </w:r>
          </w:p>
          <w:p w14:paraId="2041CBCE" w14:textId="3520AE82" w:rsidR="008D76EF" w:rsidRPr="008D76EF" w:rsidRDefault="008D76EF" w:rsidP="008D76EF">
            <w:pPr>
              <w:pStyle w:val="ListParagraph"/>
              <w:numPr>
                <w:ilvl w:val="0"/>
                <w:numId w:val="19"/>
              </w:numPr>
            </w:pPr>
            <w:r w:rsidRPr="008D76EF">
              <w:t>what the methods are used for (official production, statistical decision making, quality of statistics and methods)</w:t>
            </w:r>
          </w:p>
          <w:p w14:paraId="69D5F081" w14:textId="77777777" w:rsidR="008D76EF" w:rsidRDefault="008D76EF" w:rsidP="00B55C7B"/>
          <w:p w14:paraId="231FB735" w14:textId="59A79C1C" w:rsidR="00EC3E0D" w:rsidRPr="008D76EF" w:rsidRDefault="00EC3E0D" w:rsidP="00B55C7B">
            <w:pPr>
              <w:rPr>
                <w:b/>
              </w:rPr>
            </w:pPr>
            <w:r w:rsidRPr="008D76EF">
              <w:rPr>
                <w:b/>
              </w:rPr>
              <w:t xml:space="preserve">Activity </w:t>
            </w:r>
            <w:r w:rsidR="008D76EF" w:rsidRPr="008D76EF">
              <w:rPr>
                <w:b/>
              </w:rPr>
              <w:t>2</w:t>
            </w:r>
            <w:r w:rsidRPr="008D76EF">
              <w:rPr>
                <w:b/>
              </w:rPr>
              <w:t>: Methods Library</w:t>
            </w:r>
          </w:p>
          <w:p w14:paraId="30757E97" w14:textId="77777777" w:rsidR="00172450" w:rsidRDefault="00EC3E0D" w:rsidP="00EC3E0D">
            <w:r>
              <w:t>C</w:t>
            </w:r>
            <w:r w:rsidR="0017523A">
              <w:t xml:space="preserve">reation of wiki-based methods library based on the </w:t>
            </w:r>
            <w:r>
              <w:t>categorisation</w:t>
            </w:r>
            <w:r w:rsidR="0017523A">
              <w:t>. The library would include short, simple descriptions of most common method</w:t>
            </w:r>
            <w:r w:rsidR="00B55C7B">
              <w:t xml:space="preserve"> topic areas</w:t>
            </w:r>
            <w:r w:rsidR="0017523A">
              <w:t xml:space="preserve"> </w:t>
            </w:r>
          </w:p>
          <w:p w14:paraId="02CF537E" w14:textId="77777777" w:rsidR="00EC3E0D" w:rsidRDefault="00EC3E0D" w:rsidP="00EC3E0D"/>
          <w:p w14:paraId="11AE1989" w14:textId="31FC556E" w:rsidR="00EC3E0D" w:rsidRPr="008D76EF" w:rsidRDefault="00EC3E0D" w:rsidP="00EC3E0D">
            <w:pPr>
              <w:rPr>
                <w:rFonts w:eastAsia="Times New Roman" w:cs="Times New Roman"/>
                <w:b/>
                <w:iCs/>
                <w:lang w:val="en-US"/>
              </w:rPr>
            </w:pPr>
            <w:r w:rsidRPr="008D76EF">
              <w:rPr>
                <w:rFonts w:eastAsia="Times New Roman" w:cs="Times New Roman"/>
                <w:b/>
                <w:iCs/>
                <w:lang w:val="en-US"/>
              </w:rPr>
              <w:t xml:space="preserve">Activity </w:t>
            </w:r>
            <w:r w:rsidR="008D76EF" w:rsidRPr="008D76EF">
              <w:rPr>
                <w:rFonts w:eastAsia="Times New Roman" w:cs="Times New Roman"/>
                <w:b/>
                <w:iCs/>
                <w:lang w:val="en-US"/>
              </w:rPr>
              <w:t>3</w:t>
            </w:r>
            <w:r w:rsidRPr="008D76EF">
              <w:rPr>
                <w:rFonts w:eastAsia="Times New Roman" w:cs="Times New Roman"/>
                <w:b/>
                <w:iCs/>
                <w:lang w:val="en-US"/>
              </w:rPr>
              <w:t>: Incorporate into standards</w:t>
            </w:r>
          </w:p>
          <w:p w14:paraId="190F3D23" w14:textId="70E07F88" w:rsidR="00EC3E0D" w:rsidRPr="00EC3E0D" w:rsidRDefault="00EC3E0D" w:rsidP="00661896">
            <w:pPr>
              <w:rPr>
                <w:lang w:val="en-US"/>
              </w:rPr>
            </w:pPr>
            <w:r w:rsidRPr="00EC3E0D">
              <w:rPr>
                <w:rFonts w:eastAsia="Times New Roman" w:cs="Times New Roman"/>
                <w:iCs/>
                <w:lang w:val="en-US"/>
              </w:rPr>
              <w:t xml:space="preserve">The work of method architecture needs to </w:t>
            </w:r>
            <w:proofErr w:type="gramStart"/>
            <w:r w:rsidRPr="00EC3E0D">
              <w:rPr>
                <w:rFonts w:eastAsia="Times New Roman" w:cs="Times New Roman"/>
                <w:iCs/>
                <w:lang w:val="en-US"/>
              </w:rPr>
              <w:t>be incorporated</w:t>
            </w:r>
            <w:proofErr w:type="gramEnd"/>
            <w:r w:rsidRPr="00EC3E0D">
              <w:rPr>
                <w:rFonts w:eastAsia="Times New Roman" w:cs="Times New Roman"/>
                <w:iCs/>
                <w:lang w:val="en-US"/>
              </w:rPr>
              <w:t xml:space="preserve"> in standards, GSIM and LIM, to strengthen the implementation of a metadata-driven statistical production for process and analysis. This is an important step for building services that </w:t>
            </w:r>
            <w:proofErr w:type="gramStart"/>
            <w:r w:rsidRPr="00EC3E0D">
              <w:rPr>
                <w:rFonts w:eastAsia="Times New Roman" w:cs="Times New Roman"/>
                <w:iCs/>
                <w:lang w:val="en-US"/>
              </w:rPr>
              <w:t>could be shared</w:t>
            </w:r>
            <w:proofErr w:type="gramEnd"/>
            <w:r w:rsidRPr="00EC3E0D">
              <w:rPr>
                <w:rFonts w:eastAsia="Times New Roman" w:cs="Times New Roman"/>
                <w:iCs/>
                <w:lang w:val="en-US"/>
              </w:rPr>
              <w:t xml:space="preserve"> between different statistical organisations.</w:t>
            </w:r>
          </w:p>
        </w:tc>
      </w:tr>
      <w:tr w:rsidR="00351862" w:rsidRPr="00CE0BD2" w14:paraId="7880C1D3" w14:textId="77777777" w:rsidTr="001C6C8A">
        <w:tc>
          <w:tcPr>
            <w:tcW w:w="9975" w:type="dxa"/>
            <w:gridSpan w:val="5"/>
            <w:shd w:val="clear" w:color="auto" w:fill="8DB3E2" w:themeFill="text2" w:themeFillTint="66"/>
          </w:tcPr>
          <w:p w14:paraId="0D8D158F" w14:textId="77777777" w:rsidR="00351862" w:rsidRPr="001457E5" w:rsidRDefault="00351862" w:rsidP="0035186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3 Alternatives considered</w:t>
            </w:r>
          </w:p>
        </w:tc>
      </w:tr>
      <w:tr w:rsidR="00351862" w14:paraId="3355DD63" w14:textId="77777777" w:rsidTr="005326AD">
        <w:tc>
          <w:tcPr>
            <w:tcW w:w="9975" w:type="dxa"/>
            <w:gridSpan w:val="5"/>
            <w:shd w:val="clear" w:color="auto" w:fill="auto"/>
          </w:tcPr>
          <w:p w14:paraId="7E98A24D" w14:textId="6A5EEBA4" w:rsidR="00BB33D9" w:rsidRDefault="00BB33D9" w:rsidP="00F658B9">
            <w:pPr>
              <w:pStyle w:val="ListParagraph"/>
              <w:numPr>
                <w:ilvl w:val="0"/>
                <w:numId w:val="17"/>
              </w:numPr>
            </w:pPr>
            <w:proofErr w:type="gramStart"/>
            <w:r w:rsidRPr="00F658B9">
              <w:t>A</w:t>
            </w:r>
            <w:r w:rsidR="00115013" w:rsidRPr="00F658B9">
              <w:t xml:space="preserve"> </w:t>
            </w:r>
            <w:r w:rsidR="00F54CA9" w:rsidRPr="00F658B9">
              <w:t xml:space="preserve"> more</w:t>
            </w:r>
            <w:proofErr w:type="gramEnd"/>
            <w:r w:rsidR="00F54CA9" w:rsidRPr="00F658B9">
              <w:t xml:space="preserve"> in depth piece of work could be </w:t>
            </w:r>
            <w:r w:rsidR="00115013" w:rsidRPr="00F658B9">
              <w:t xml:space="preserve">undertaken </w:t>
            </w:r>
            <w:r w:rsidR="00F54CA9" w:rsidRPr="00F658B9">
              <w:t xml:space="preserve">to create the </w:t>
            </w:r>
            <w:r w:rsidR="00EC3E0D">
              <w:t>categorisation</w:t>
            </w:r>
            <w:r w:rsidR="00F54CA9" w:rsidRPr="00F658B9">
              <w:t xml:space="preserve"> and fully document all </w:t>
            </w:r>
            <w:r w:rsidRPr="00F658B9">
              <w:t xml:space="preserve">the </w:t>
            </w:r>
            <w:r w:rsidR="00F54CA9" w:rsidRPr="00F658B9">
              <w:t xml:space="preserve">methods in the </w:t>
            </w:r>
            <w:r w:rsidR="00EC3E0D">
              <w:t>categorisation</w:t>
            </w:r>
            <w:r w:rsidR="00F54CA9" w:rsidRPr="00F658B9">
              <w:t>. This w</w:t>
            </w:r>
            <w:r w:rsidRPr="00F658B9">
              <w:t xml:space="preserve">ould be a large amount of work and would add limited value to the community as most methods </w:t>
            </w:r>
            <w:proofErr w:type="gramStart"/>
            <w:r w:rsidRPr="00F658B9">
              <w:t>are already well documented</w:t>
            </w:r>
            <w:proofErr w:type="gramEnd"/>
            <w:r w:rsidRPr="00F658B9">
              <w:t>.</w:t>
            </w:r>
          </w:p>
          <w:p w14:paraId="40975E7B" w14:textId="77777777" w:rsidR="00F658B9" w:rsidRPr="00F658B9" w:rsidRDefault="00F658B9" w:rsidP="00F658B9">
            <w:pPr>
              <w:pStyle w:val="ListParagraph"/>
            </w:pPr>
          </w:p>
          <w:p w14:paraId="0A106DED" w14:textId="77777777" w:rsidR="00D21AE5" w:rsidRPr="00F658B9" w:rsidRDefault="00BB33D9" w:rsidP="0094085C">
            <w:pPr>
              <w:pStyle w:val="ListParagraph"/>
              <w:numPr>
                <w:ilvl w:val="0"/>
                <w:numId w:val="17"/>
              </w:numPr>
            </w:pPr>
            <w:r w:rsidRPr="00F658B9">
              <w:t xml:space="preserve">Do nothing. </w:t>
            </w:r>
            <w:r w:rsidR="00F658B9" w:rsidRPr="00F658B9">
              <w:t xml:space="preserve">Numerous statistical offices are already starting to undertake this work on their own. By working together, this </w:t>
            </w:r>
            <w:proofErr w:type="gramStart"/>
            <w:r w:rsidR="00F658B9" w:rsidRPr="00F658B9">
              <w:t>could be done</w:t>
            </w:r>
            <w:proofErr w:type="gramEnd"/>
            <w:r w:rsidR="00F658B9" w:rsidRPr="00F658B9">
              <w:t xml:space="preserve"> more efficiently.</w:t>
            </w:r>
          </w:p>
        </w:tc>
      </w:tr>
      <w:tr w:rsidR="00A77F79" w:rsidRPr="00350F7F" w14:paraId="24E79299" w14:textId="77777777" w:rsidTr="001C6C8A">
        <w:tc>
          <w:tcPr>
            <w:tcW w:w="9975" w:type="dxa"/>
            <w:gridSpan w:val="5"/>
            <w:shd w:val="clear" w:color="auto" w:fill="8DB3E2" w:themeFill="text2" w:themeFillTint="66"/>
          </w:tcPr>
          <w:p w14:paraId="001AF2F7" w14:textId="77777777" w:rsidR="00A77F79" w:rsidRPr="001457E5" w:rsidRDefault="00351862" w:rsidP="00BB2C7C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4</w:t>
            </w:r>
            <w:r w:rsidR="00A77F79">
              <w:rPr>
                <w:rFonts w:asciiTheme="minorHAnsi" w:hAnsiTheme="minorHAnsi"/>
                <w:b/>
                <w:szCs w:val="24"/>
              </w:rPr>
              <w:t xml:space="preserve"> Expected Benefits</w:t>
            </w:r>
          </w:p>
        </w:tc>
      </w:tr>
      <w:tr w:rsidR="00A77F79" w:rsidRPr="00350F7F" w14:paraId="5E5A9944" w14:textId="77777777" w:rsidTr="005326AD">
        <w:tc>
          <w:tcPr>
            <w:tcW w:w="638" w:type="dxa"/>
            <w:gridSpan w:val="3"/>
          </w:tcPr>
          <w:p w14:paraId="62EFB925" w14:textId="62137D0B" w:rsidR="00A77F79" w:rsidRPr="00350F7F" w:rsidRDefault="001C6C8A" w:rsidP="00172450">
            <w:pPr>
              <w:rPr>
                <w:rFonts w:asciiTheme="minorHAnsi" w:hAnsiTheme="minorHAnsi"/>
                <w:szCs w:val="24"/>
              </w:rPr>
            </w:pPr>
            <w:sdt>
              <w:sdtPr>
                <w:rPr>
                  <w:szCs w:val="24"/>
                </w:rPr>
                <w:id w:val="1000537145"/>
              </w:sdtPr>
              <w:sdtEndPr/>
              <w:sdtContent>
                <w:r w:rsidR="00D21AE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</w:p>
        </w:tc>
        <w:tc>
          <w:tcPr>
            <w:tcW w:w="9337" w:type="dxa"/>
            <w:gridSpan w:val="2"/>
          </w:tcPr>
          <w:p w14:paraId="219EA632" w14:textId="77777777" w:rsidR="00A77F79" w:rsidRPr="00350F7F" w:rsidRDefault="00A77F79" w:rsidP="00FD229A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Reduced costs</w:t>
            </w:r>
          </w:p>
        </w:tc>
      </w:tr>
      <w:tr w:rsidR="00A77F79" w:rsidRPr="00350F7F" w14:paraId="2DC8FF27" w14:textId="77777777" w:rsidTr="005326AD">
        <w:tc>
          <w:tcPr>
            <w:tcW w:w="638" w:type="dxa"/>
            <w:gridSpan w:val="3"/>
          </w:tcPr>
          <w:p w14:paraId="54B69C05" w14:textId="450693E3" w:rsidR="00A77F79" w:rsidRPr="00350F7F" w:rsidRDefault="001C6C8A" w:rsidP="00FD229A">
            <w:pPr>
              <w:rPr>
                <w:rFonts w:asciiTheme="minorHAnsi" w:hAnsiTheme="minorHAnsi"/>
                <w:szCs w:val="24"/>
              </w:rPr>
            </w:pPr>
            <w:sdt>
              <w:sdtPr>
                <w:rPr>
                  <w:szCs w:val="24"/>
                </w:rPr>
                <w:id w:val="1968082251"/>
              </w:sdtPr>
              <w:sdtEndPr/>
              <w:sdtContent>
                <w:r w:rsidR="00D21AE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</w:p>
        </w:tc>
        <w:tc>
          <w:tcPr>
            <w:tcW w:w="9337" w:type="dxa"/>
            <w:gridSpan w:val="2"/>
          </w:tcPr>
          <w:p w14:paraId="7C8C4F3E" w14:textId="77777777" w:rsidR="00A77F79" w:rsidRPr="00350F7F" w:rsidRDefault="00A77F79" w:rsidP="00FD229A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Increased efficiency</w:t>
            </w:r>
          </w:p>
        </w:tc>
      </w:tr>
      <w:tr w:rsidR="00A77F79" w:rsidRPr="00350F7F" w14:paraId="34D847DE" w14:textId="77777777" w:rsidTr="005326AD">
        <w:tc>
          <w:tcPr>
            <w:tcW w:w="638" w:type="dxa"/>
            <w:gridSpan w:val="3"/>
          </w:tcPr>
          <w:p w14:paraId="12F137F0" w14:textId="4B1DC4FD" w:rsidR="00A77F79" w:rsidRPr="00350F7F" w:rsidRDefault="001C6C8A" w:rsidP="00FD229A">
            <w:pPr>
              <w:rPr>
                <w:rFonts w:asciiTheme="minorHAnsi" w:hAnsiTheme="minorHAnsi"/>
                <w:szCs w:val="24"/>
              </w:rPr>
            </w:pPr>
            <w:sdt>
              <w:sdtPr>
                <w:rPr>
                  <w:szCs w:val="24"/>
                </w:rPr>
                <w:id w:val="-729995432"/>
              </w:sdtPr>
              <w:sdtEndPr/>
              <w:sdtContent>
                <w:r w:rsidR="002214E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9337" w:type="dxa"/>
            <w:gridSpan w:val="2"/>
          </w:tcPr>
          <w:p w14:paraId="4AFBB194" w14:textId="77777777" w:rsidR="00A77F79" w:rsidRPr="00350F7F" w:rsidRDefault="00A77F79" w:rsidP="00A77F79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Reduced risks</w:t>
            </w:r>
          </w:p>
        </w:tc>
      </w:tr>
      <w:tr w:rsidR="00A77F79" w:rsidRPr="00350F7F" w14:paraId="2F93B829" w14:textId="77777777" w:rsidTr="005326AD">
        <w:tc>
          <w:tcPr>
            <w:tcW w:w="638" w:type="dxa"/>
            <w:gridSpan w:val="3"/>
          </w:tcPr>
          <w:p w14:paraId="6849E5F7" w14:textId="715694F3" w:rsidR="00A77F79" w:rsidRPr="00350F7F" w:rsidRDefault="001C6C8A" w:rsidP="00172450">
            <w:pPr>
              <w:rPr>
                <w:rFonts w:asciiTheme="minorHAnsi" w:hAnsiTheme="minorHAnsi"/>
                <w:szCs w:val="24"/>
              </w:rPr>
            </w:pPr>
            <w:sdt>
              <w:sdtPr>
                <w:rPr>
                  <w:szCs w:val="24"/>
                </w:rPr>
                <w:id w:val="-1599870518"/>
              </w:sdtPr>
              <w:sdtEndPr/>
              <w:sdtContent>
                <w:r w:rsidR="0093771B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9337" w:type="dxa"/>
            <w:gridSpan w:val="2"/>
          </w:tcPr>
          <w:p w14:paraId="76081828" w14:textId="77777777" w:rsidR="00A77F79" w:rsidRPr="00350F7F" w:rsidRDefault="00A77F79" w:rsidP="00FD229A">
            <w:pPr>
              <w:rPr>
                <w:rFonts w:asciiTheme="minorHAnsi" w:hAnsiTheme="minorHAnsi"/>
                <w:szCs w:val="24"/>
              </w:rPr>
            </w:pPr>
            <w:r w:rsidRPr="00350F7F">
              <w:rPr>
                <w:rFonts w:asciiTheme="minorHAnsi" w:hAnsiTheme="minorHAnsi"/>
                <w:szCs w:val="24"/>
              </w:rPr>
              <w:t xml:space="preserve">New </w:t>
            </w:r>
            <w:r>
              <w:rPr>
                <w:rFonts w:asciiTheme="minorHAnsi" w:hAnsiTheme="minorHAnsi"/>
                <w:szCs w:val="24"/>
              </w:rPr>
              <w:t>capabilities to meet user needs</w:t>
            </w:r>
          </w:p>
        </w:tc>
      </w:tr>
      <w:tr w:rsidR="00A77F79" w:rsidRPr="00350F7F" w14:paraId="33209009" w14:textId="77777777" w:rsidTr="005326AD">
        <w:tc>
          <w:tcPr>
            <w:tcW w:w="9975" w:type="dxa"/>
            <w:gridSpan w:val="5"/>
          </w:tcPr>
          <w:p w14:paraId="510CB9A9" w14:textId="77777777" w:rsidR="00A77F79" w:rsidRDefault="00A77F79" w:rsidP="002214E1">
            <w:pPr>
              <w:rPr>
                <w:szCs w:val="24"/>
              </w:rPr>
            </w:pPr>
            <w:r>
              <w:rPr>
                <w:szCs w:val="24"/>
              </w:rPr>
              <w:t>Justification:</w:t>
            </w:r>
            <w:r w:rsidR="00FD3B04">
              <w:rPr>
                <w:szCs w:val="24"/>
              </w:rPr>
              <w:t xml:space="preserve">  </w:t>
            </w:r>
          </w:p>
          <w:p w14:paraId="703B6E25" w14:textId="77777777" w:rsidR="00D21AE5" w:rsidRDefault="00D21AE5" w:rsidP="002214E1">
            <w:pPr>
              <w:rPr>
                <w:szCs w:val="24"/>
              </w:rPr>
            </w:pPr>
          </w:p>
          <w:p w14:paraId="32FD74E8" w14:textId="77777777" w:rsidR="00F658B9" w:rsidRDefault="00F658B9" w:rsidP="002214E1">
            <w:pPr>
              <w:rPr>
                <w:szCs w:val="24"/>
              </w:rPr>
            </w:pPr>
            <w:r>
              <w:rPr>
                <w:szCs w:val="24"/>
              </w:rPr>
              <w:t>This work will allow statistical offices to:</w:t>
            </w:r>
          </w:p>
          <w:p w14:paraId="407ABEAD" w14:textId="77777777" w:rsidR="00D21AE5" w:rsidRDefault="00D21AE5" w:rsidP="00D21AE5">
            <w:pPr>
              <w:pStyle w:val="ListParagraph"/>
              <w:numPr>
                <w:ilvl w:val="0"/>
                <w:numId w:val="15"/>
              </w:numPr>
              <w:spacing w:after="200" w:line="276" w:lineRule="auto"/>
            </w:pPr>
            <w:r>
              <w:t xml:space="preserve">more effectively compare and contrast their methodologies </w:t>
            </w:r>
          </w:p>
          <w:p w14:paraId="3FF1B6E2" w14:textId="77777777" w:rsidR="00D21AE5" w:rsidRDefault="00D21AE5" w:rsidP="00D21AE5">
            <w:pPr>
              <w:pStyle w:val="ListParagraph"/>
              <w:numPr>
                <w:ilvl w:val="0"/>
                <w:numId w:val="15"/>
              </w:numPr>
              <w:spacing w:after="200" w:line="276" w:lineRule="auto"/>
            </w:pPr>
            <w:r>
              <w:t>identify opportunity for collaboration and alignment of methods</w:t>
            </w:r>
          </w:p>
          <w:p w14:paraId="3701D33E" w14:textId="77777777" w:rsidR="00D21AE5" w:rsidRDefault="00D21AE5" w:rsidP="00D21AE5">
            <w:pPr>
              <w:pStyle w:val="ListParagraph"/>
              <w:numPr>
                <w:ilvl w:val="0"/>
                <w:numId w:val="15"/>
              </w:numPr>
              <w:spacing w:after="200" w:line="276" w:lineRule="auto"/>
            </w:pPr>
            <w:r>
              <w:t xml:space="preserve">facilitate sharing of CSPA compliant systems and services, and  </w:t>
            </w:r>
          </w:p>
          <w:p w14:paraId="5C11D4E1" w14:textId="77777777" w:rsidR="002214E1" w:rsidRPr="00350F7F" w:rsidRDefault="00D21AE5" w:rsidP="00F658B9">
            <w:pPr>
              <w:pStyle w:val="ListParagraph"/>
              <w:numPr>
                <w:ilvl w:val="0"/>
                <w:numId w:val="15"/>
              </w:numPr>
              <w:spacing w:after="200" w:line="276" w:lineRule="auto"/>
              <w:rPr>
                <w:szCs w:val="24"/>
              </w:rPr>
            </w:pPr>
            <w:r>
              <w:t>accelerate the adoption o</w:t>
            </w:r>
            <w:r w:rsidR="00F658B9">
              <w:t>f new methodologies across NSOs</w:t>
            </w:r>
          </w:p>
        </w:tc>
      </w:tr>
      <w:tr w:rsidR="00FF565D" w:rsidRPr="00350F7F" w14:paraId="25E9A62B" w14:textId="77777777" w:rsidTr="001C6C8A">
        <w:tc>
          <w:tcPr>
            <w:tcW w:w="9975" w:type="dxa"/>
            <w:gridSpan w:val="5"/>
            <w:shd w:val="clear" w:color="auto" w:fill="8DB3E2" w:themeFill="text2" w:themeFillTint="66"/>
          </w:tcPr>
          <w:p w14:paraId="03426A03" w14:textId="77777777" w:rsidR="00FF565D" w:rsidRPr="00B37656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 xml:space="preserve">5 </w:t>
            </w:r>
            <w:r w:rsidR="00FF565D" w:rsidRPr="00B37656">
              <w:rPr>
                <w:rFonts w:asciiTheme="minorHAnsi" w:hAnsiTheme="minorHAnsi"/>
                <w:b/>
                <w:szCs w:val="24"/>
              </w:rPr>
              <w:t>Type of Activity</w:t>
            </w:r>
          </w:p>
        </w:tc>
      </w:tr>
      <w:tr w:rsidR="002214E1" w:rsidRPr="00350F7F" w14:paraId="74DA403D" w14:textId="77777777" w:rsidTr="005326AD">
        <w:tc>
          <w:tcPr>
            <w:tcW w:w="603" w:type="dxa"/>
            <w:gridSpan w:val="2"/>
          </w:tcPr>
          <w:p w14:paraId="0F98987E" w14:textId="1F9468E9" w:rsidR="002214E1" w:rsidRPr="00350F7F" w:rsidRDefault="001C6C8A" w:rsidP="002214E1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29861754"/>
              </w:sdtPr>
              <w:sdtEndPr/>
              <w:sdtContent>
                <w:r w:rsidR="00FD229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</w:p>
        </w:tc>
        <w:tc>
          <w:tcPr>
            <w:tcW w:w="9372" w:type="dxa"/>
            <w:gridSpan w:val="3"/>
          </w:tcPr>
          <w:p w14:paraId="6C1ECE39" w14:textId="77777777" w:rsidR="002214E1" w:rsidRPr="00350F7F" w:rsidRDefault="002214E1" w:rsidP="002214E1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214E1" w:rsidRPr="00350F7F" w14:paraId="5682D994" w14:textId="77777777" w:rsidTr="005326AD">
        <w:tc>
          <w:tcPr>
            <w:tcW w:w="603" w:type="dxa"/>
            <w:gridSpan w:val="2"/>
          </w:tcPr>
          <w:p w14:paraId="73DF54C6" w14:textId="2F54BA27" w:rsidR="002214E1" w:rsidRPr="00350F7F" w:rsidRDefault="001C6C8A" w:rsidP="002214E1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43399927"/>
              </w:sdtPr>
              <w:sdtEndPr/>
              <w:sdtContent>
                <w:r w:rsidR="0093771B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9372" w:type="dxa"/>
            <w:gridSpan w:val="3"/>
          </w:tcPr>
          <w:p w14:paraId="59C4306E" w14:textId="77777777" w:rsidR="002214E1" w:rsidRDefault="002214E1" w:rsidP="002214E1">
            <w:pPr>
              <w:rPr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214E1" w:rsidRPr="00350F7F" w14:paraId="3BECF636" w14:textId="77777777" w:rsidTr="005326AD">
        <w:tc>
          <w:tcPr>
            <w:tcW w:w="603" w:type="dxa"/>
            <w:gridSpan w:val="2"/>
          </w:tcPr>
          <w:p w14:paraId="74E1F900" w14:textId="5DF81742" w:rsidR="002214E1" w:rsidRPr="00350F7F" w:rsidRDefault="001C6C8A" w:rsidP="002214E1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09373416"/>
              </w:sdtPr>
              <w:sdtEndPr/>
              <w:sdtContent>
                <w:r w:rsidR="002214E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9372" w:type="dxa"/>
            <w:gridSpan w:val="3"/>
          </w:tcPr>
          <w:p w14:paraId="1C1A66F8" w14:textId="77777777" w:rsidR="002214E1" w:rsidRDefault="002214E1" w:rsidP="002214E1">
            <w:pPr>
              <w:rPr>
                <w:szCs w:val="24"/>
              </w:rPr>
            </w:pPr>
            <w:r w:rsidRPr="00350F7F">
              <w:rPr>
                <w:rFonts w:asciiTheme="minorHAnsi" w:hAnsiTheme="minorHAnsi"/>
                <w:szCs w:val="24"/>
              </w:rPr>
              <w:t xml:space="preserve">Other </w:t>
            </w:r>
            <w:r w:rsidRPr="00350F7F">
              <w:rPr>
                <w:rFonts w:asciiTheme="minorHAnsi" w:hAnsiTheme="minorHAnsi"/>
                <w:i/>
                <w:szCs w:val="24"/>
              </w:rPr>
              <w:t>(specify below)</w:t>
            </w:r>
          </w:p>
        </w:tc>
      </w:tr>
      <w:tr w:rsidR="00FF565D" w:rsidRPr="00350F7F" w14:paraId="13C108FC" w14:textId="77777777" w:rsidTr="005326AD">
        <w:tc>
          <w:tcPr>
            <w:tcW w:w="9975" w:type="dxa"/>
            <w:gridSpan w:val="5"/>
          </w:tcPr>
          <w:p w14:paraId="0CAE3F5A" w14:textId="77777777" w:rsidR="002214E1" w:rsidRPr="00350F7F" w:rsidRDefault="002214E1" w:rsidP="0093771B">
            <w:pPr>
              <w:rPr>
                <w:rFonts w:asciiTheme="minorHAnsi" w:hAnsiTheme="minorHAnsi"/>
                <w:szCs w:val="24"/>
              </w:rPr>
            </w:pPr>
          </w:p>
        </w:tc>
      </w:tr>
      <w:tr w:rsidR="00A31019" w:rsidRPr="00BB2C7C" w14:paraId="77FFD54A" w14:textId="77777777" w:rsidTr="001C6C8A">
        <w:tc>
          <w:tcPr>
            <w:tcW w:w="9975" w:type="dxa"/>
            <w:gridSpan w:val="5"/>
            <w:shd w:val="clear" w:color="auto" w:fill="8DB3E2" w:themeFill="text2" w:themeFillTint="66"/>
          </w:tcPr>
          <w:p w14:paraId="6F82623E" w14:textId="77777777" w:rsidR="00A31019" w:rsidRPr="00BB2C7C" w:rsidRDefault="00A31019" w:rsidP="00FD229A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Cs w:val="24"/>
                <w:lang w:val="en-GB"/>
              </w:rPr>
              <w:t>6</w:t>
            </w:r>
            <w:r>
              <w:rPr>
                <w:rFonts w:asciiTheme="minorHAnsi" w:hAnsiTheme="minorHAnsi"/>
                <w:b/>
                <w:szCs w:val="24"/>
              </w:rPr>
              <w:t xml:space="preserve"> Which key priorities in the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HLG-MOS Strateg</w:t>
            </w:r>
            <w:r>
              <w:rPr>
                <w:rFonts w:asciiTheme="minorHAnsi" w:hAnsiTheme="minorHAnsi"/>
                <w:b/>
                <w:szCs w:val="24"/>
              </w:rPr>
              <w:t xml:space="preserve">ic Framework </w:t>
            </w:r>
            <w:r w:rsidRPr="00BB2C7C">
              <w:rPr>
                <w:rFonts w:asciiTheme="minorHAnsi" w:hAnsiTheme="minorHAnsi"/>
                <w:b/>
                <w:szCs w:val="24"/>
              </w:rPr>
              <w:t>does th</w:t>
            </w:r>
            <w:r>
              <w:rPr>
                <w:rFonts w:asciiTheme="minorHAnsi" w:hAnsiTheme="minorHAnsi"/>
                <w:b/>
                <w:szCs w:val="24"/>
              </w:rPr>
              <w:t>e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proposed </w:t>
            </w:r>
            <w:r>
              <w:rPr>
                <w:rFonts w:asciiTheme="minorHAnsi" w:hAnsiTheme="minorHAnsi"/>
                <w:b/>
                <w:szCs w:val="24"/>
              </w:rPr>
              <w:t>project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relate </w:t>
            </w:r>
            <w:proofErr w:type="gramStart"/>
            <w:r w:rsidRPr="00BB2C7C">
              <w:rPr>
                <w:rFonts w:asciiTheme="minorHAnsi" w:hAnsiTheme="minorHAnsi"/>
                <w:b/>
                <w:szCs w:val="24"/>
              </w:rPr>
              <w:t>to</w:t>
            </w:r>
            <w:proofErr w:type="gramEnd"/>
            <w:r>
              <w:rPr>
                <w:rFonts w:asciiTheme="minorHAnsi" w:hAnsiTheme="minorHAnsi"/>
                <w:b/>
                <w:szCs w:val="24"/>
              </w:rPr>
              <w:t>?</w:t>
            </w:r>
          </w:p>
        </w:tc>
      </w:tr>
      <w:tr w:rsidR="00A31019" w:rsidRPr="00350F7F" w14:paraId="1D0CC33A" w14:textId="77777777" w:rsidTr="00A31019">
        <w:tc>
          <w:tcPr>
            <w:tcW w:w="456" w:type="dxa"/>
          </w:tcPr>
          <w:p w14:paraId="2CA65FF6" w14:textId="3D6C2071" w:rsidR="00A31019" w:rsidRPr="00350F7F" w:rsidRDefault="001C6C8A" w:rsidP="00FD229A">
            <w:pPr>
              <w:rPr>
                <w:rFonts w:asciiTheme="minorHAnsi" w:hAnsiTheme="minorHAnsi"/>
                <w:szCs w:val="24"/>
              </w:rPr>
            </w:pPr>
            <w:sdt>
              <w:sdtPr>
                <w:rPr>
                  <w:szCs w:val="24"/>
                </w:rPr>
                <w:id w:val="456375328"/>
              </w:sdtPr>
              <w:sdtEndPr/>
              <w:sdtContent>
                <w:r w:rsidR="00A3101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9519" w:type="dxa"/>
            <w:gridSpan w:val="4"/>
          </w:tcPr>
          <w:p w14:paraId="05BC1F63" w14:textId="77777777" w:rsidR="00A31019" w:rsidRPr="00350F7F" w:rsidRDefault="00A31019" w:rsidP="00FD229A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Take cost out of our organisations to rei</w:t>
            </w:r>
            <w:r>
              <w:rPr>
                <w:rFonts w:asciiTheme="minorHAnsi" w:hAnsiTheme="minorHAnsi"/>
                <w:szCs w:val="24"/>
              </w:rPr>
              <w:t>nvest in more value added areas</w:t>
            </w:r>
          </w:p>
        </w:tc>
      </w:tr>
      <w:tr w:rsidR="00A31019" w:rsidRPr="00350F7F" w14:paraId="1E9DF8DF" w14:textId="77777777" w:rsidTr="00A31019">
        <w:tc>
          <w:tcPr>
            <w:tcW w:w="456" w:type="dxa"/>
          </w:tcPr>
          <w:p w14:paraId="0DAA4CA2" w14:textId="50A57D39" w:rsidR="00A31019" w:rsidRPr="00350F7F" w:rsidRDefault="001C6C8A" w:rsidP="00FD229A">
            <w:pPr>
              <w:rPr>
                <w:rFonts w:asciiTheme="minorHAnsi" w:hAnsiTheme="minorHAnsi"/>
                <w:szCs w:val="24"/>
              </w:rPr>
            </w:pPr>
            <w:sdt>
              <w:sdtPr>
                <w:rPr>
                  <w:szCs w:val="24"/>
                </w:rPr>
                <w:id w:val="-2011664176"/>
              </w:sdtPr>
              <w:sdtEndPr/>
              <w:sdtContent>
                <w:r w:rsidR="00F658B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</w:p>
        </w:tc>
        <w:tc>
          <w:tcPr>
            <w:tcW w:w="9519" w:type="dxa"/>
            <w:gridSpan w:val="4"/>
          </w:tcPr>
          <w:p w14:paraId="594A9E0B" w14:textId="77777777" w:rsidR="00A31019" w:rsidRPr="00350F7F" w:rsidRDefault="00A31019" w:rsidP="00FD229A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Explore new areas collectively and leverage each other’s' research investments in specific areas</w:t>
            </w:r>
          </w:p>
        </w:tc>
      </w:tr>
      <w:tr w:rsidR="00A31019" w:rsidRPr="00350F7F" w14:paraId="07EB7C49" w14:textId="77777777" w:rsidTr="00A31019">
        <w:tc>
          <w:tcPr>
            <w:tcW w:w="456" w:type="dxa"/>
          </w:tcPr>
          <w:p w14:paraId="2D613391" w14:textId="05082C6D" w:rsidR="00A31019" w:rsidRPr="00350F7F" w:rsidRDefault="001C6C8A" w:rsidP="00FD229A">
            <w:pPr>
              <w:rPr>
                <w:rFonts w:asciiTheme="minorHAnsi" w:hAnsiTheme="minorHAnsi"/>
                <w:szCs w:val="24"/>
              </w:rPr>
            </w:pPr>
            <w:sdt>
              <w:sdtPr>
                <w:rPr>
                  <w:szCs w:val="24"/>
                </w:rPr>
                <w:id w:val="646861261"/>
              </w:sdtPr>
              <w:sdtEndPr/>
              <w:sdtContent>
                <w:r w:rsidR="00F658B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</w:p>
        </w:tc>
        <w:tc>
          <w:tcPr>
            <w:tcW w:w="9519" w:type="dxa"/>
            <w:gridSpan w:val="4"/>
          </w:tcPr>
          <w:p w14:paraId="05041021" w14:textId="77777777" w:rsidR="00A31019" w:rsidRPr="00350F7F" w:rsidRDefault="00A31019" w:rsidP="00FD229A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Provide whole of government data ecosystems based on international standards, for better estimates in key policy areas</w:t>
            </w:r>
          </w:p>
        </w:tc>
      </w:tr>
      <w:tr w:rsidR="00A31019" w:rsidRPr="00350F7F" w14:paraId="02C10161" w14:textId="77777777" w:rsidTr="00A31019">
        <w:tc>
          <w:tcPr>
            <w:tcW w:w="456" w:type="dxa"/>
          </w:tcPr>
          <w:p w14:paraId="700BBC22" w14:textId="1C508550" w:rsidR="00A31019" w:rsidRPr="00350F7F" w:rsidRDefault="001C6C8A" w:rsidP="00FD229A">
            <w:pPr>
              <w:rPr>
                <w:rFonts w:asciiTheme="minorHAnsi" w:hAnsiTheme="minorHAnsi"/>
                <w:szCs w:val="24"/>
              </w:rPr>
            </w:pPr>
            <w:sdt>
              <w:sdtPr>
                <w:rPr>
                  <w:szCs w:val="24"/>
                </w:rPr>
                <w:id w:val="1908180055"/>
              </w:sdtPr>
              <w:sdtEndPr/>
              <w:sdtContent>
                <w:r w:rsidR="00F658B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  <w:tc>
          <w:tcPr>
            <w:tcW w:w="9519" w:type="dxa"/>
            <w:gridSpan w:val="4"/>
          </w:tcPr>
          <w:p w14:paraId="0D3D465C" w14:textId="77777777" w:rsidR="00A31019" w:rsidRPr="00350F7F" w:rsidRDefault="00A31019" w:rsidP="00FD229A">
            <w:pPr>
              <w:rPr>
                <w:rFonts w:asciiTheme="minorHAnsi" w:hAnsiTheme="minorHAnsi"/>
                <w:szCs w:val="24"/>
              </w:rPr>
            </w:pPr>
            <w:r w:rsidRPr="007A224D">
              <w:rPr>
                <w:rFonts w:asciiTheme="minorHAnsi" w:hAnsiTheme="minorHAnsi"/>
                <w:szCs w:val="24"/>
              </w:rPr>
              <w:t>Renew our governance and operating processes</w:t>
            </w:r>
          </w:p>
        </w:tc>
      </w:tr>
      <w:tr w:rsidR="00A31019" w:rsidRPr="00350F7F" w14:paraId="66D6E0A9" w14:textId="77777777" w:rsidTr="00FD229A">
        <w:tc>
          <w:tcPr>
            <w:tcW w:w="9975" w:type="dxa"/>
            <w:gridSpan w:val="5"/>
          </w:tcPr>
          <w:p w14:paraId="415EA46E" w14:textId="77777777" w:rsidR="00A31019" w:rsidRPr="00350F7F" w:rsidRDefault="00A31019" w:rsidP="00D21AE5">
            <w:pPr>
              <w:rPr>
                <w:szCs w:val="24"/>
              </w:rPr>
            </w:pPr>
          </w:p>
        </w:tc>
      </w:tr>
      <w:tr w:rsidR="00FF565D" w:rsidRPr="00007BD9" w14:paraId="26057978" w14:textId="77777777" w:rsidTr="001C6C8A">
        <w:tc>
          <w:tcPr>
            <w:tcW w:w="9975" w:type="dxa"/>
            <w:gridSpan w:val="5"/>
            <w:shd w:val="clear" w:color="auto" w:fill="8DB3E2" w:themeFill="text2" w:themeFillTint="66"/>
          </w:tcPr>
          <w:p w14:paraId="5C7595EC" w14:textId="77777777" w:rsidR="00FF565D" w:rsidRPr="00007BD9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7</w:t>
            </w:r>
            <w:r w:rsidR="00BB2C7C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FF565D" w:rsidRPr="00BB2C7C">
              <w:rPr>
                <w:rFonts w:asciiTheme="minorHAnsi" w:hAnsiTheme="minorHAnsi"/>
                <w:b/>
                <w:szCs w:val="24"/>
              </w:rPr>
              <w:t>How does th</w:t>
            </w:r>
            <w:r w:rsidR="005326AD">
              <w:rPr>
                <w:rFonts w:asciiTheme="minorHAnsi" w:hAnsiTheme="minorHAnsi"/>
                <w:b/>
                <w:szCs w:val="24"/>
              </w:rPr>
              <w:t>e</w:t>
            </w:r>
            <w:r w:rsidR="00FF565D" w:rsidRPr="00BB2C7C">
              <w:rPr>
                <w:rFonts w:asciiTheme="minorHAnsi" w:hAnsiTheme="minorHAnsi"/>
                <w:b/>
                <w:szCs w:val="24"/>
              </w:rPr>
              <w:t xml:space="preserve"> proposed activity relate to </w:t>
            </w:r>
            <w:r w:rsidR="0049550D">
              <w:rPr>
                <w:rFonts w:asciiTheme="minorHAnsi" w:hAnsiTheme="minorHAnsi"/>
                <w:b/>
                <w:szCs w:val="24"/>
              </w:rPr>
              <w:t>other</w:t>
            </w:r>
            <w:r w:rsidR="00A77F79" w:rsidRPr="00BB2C7C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A77F79" w:rsidRPr="00843355" w14:paraId="31D8354B" w14:textId="77777777" w:rsidTr="005326AD">
        <w:trPr>
          <w:trHeight w:val="391"/>
        </w:trPr>
        <w:tc>
          <w:tcPr>
            <w:tcW w:w="9975" w:type="dxa"/>
            <w:gridSpan w:val="5"/>
          </w:tcPr>
          <w:p w14:paraId="5A749B4F" w14:textId="77777777" w:rsidR="00D21AE5" w:rsidRDefault="0017523A" w:rsidP="0017523A">
            <w:r w:rsidRPr="0017523A">
              <w:t>The proposed activity has strong links to the Common Statistical Production Architecture</w:t>
            </w:r>
            <w:r w:rsidR="007A58AE">
              <w:t>, especially related to how the interface to input data and output data should be described, and how statistical methods, and algorithms should be packaged to ensure re-usability.</w:t>
            </w:r>
            <w:r w:rsidRPr="0017523A">
              <w:t xml:space="preserve"> </w:t>
            </w:r>
          </w:p>
          <w:p w14:paraId="5F2797F1" w14:textId="77777777" w:rsidR="008D76EF" w:rsidRDefault="008D76EF" w:rsidP="0017523A"/>
          <w:p w14:paraId="3B11B84D" w14:textId="248D68D7" w:rsidR="008D76EF" w:rsidRPr="00397639" w:rsidRDefault="008D76EF" w:rsidP="0017523A">
            <w:r>
              <w:t>The activity also has links to the GSBPM and GSIM reviews.</w:t>
            </w:r>
          </w:p>
        </w:tc>
      </w:tr>
      <w:tr w:rsidR="00BB2C7C" w:rsidRPr="002058F2" w14:paraId="530616B3" w14:textId="77777777" w:rsidTr="001C6C8A">
        <w:tc>
          <w:tcPr>
            <w:tcW w:w="9975" w:type="dxa"/>
            <w:gridSpan w:val="5"/>
            <w:shd w:val="clear" w:color="auto" w:fill="8DB3E2" w:themeFill="text2" w:themeFillTint="66"/>
          </w:tcPr>
          <w:p w14:paraId="4E81577C" w14:textId="77777777" w:rsidR="00BB2C7C" w:rsidRPr="00661896" w:rsidRDefault="00B37656" w:rsidP="00B37656">
            <w:pPr>
              <w:rPr>
                <w:b/>
              </w:rPr>
            </w:pPr>
            <w:r w:rsidRPr="00661896">
              <w:rPr>
                <w:b/>
              </w:rPr>
              <w:t>8</w:t>
            </w:r>
            <w:r w:rsidR="00BB2C7C" w:rsidRPr="00661896">
              <w:rPr>
                <w:b/>
              </w:rPr>
              <w:t xml:space="preserve"> </w:t>
            </w:r>
            <w:r w:rsidR="00CE0BD2" w:rsidRPr="00661896">
              <w:rPr>
                <w:b/>
              </w:rPr>
              <w:t>Proposed s</w:t>
            </w:r>
            <w:r w:rsidR="00BB2C7C" w:rsidRPr="00661896">
              <w:rPr>
                <w:b/>
              </w:rPr>
              <w:t xml:space="preserve">tart </w:t>
            </w:r>
            <w:r w:rsidR="00CE0BD2" w:rsidRPr="00661896">
              <w:rPr>
                <w:b/>
              </w:rPr>
              <w:t>and</w:t>
            </w:r>
            <w:r w:rsidR="00EA50EF" w:rsidRPr="00661896">
              <w:rPr>
                <w:b/>
              </w:rPr>
              <w:t xml:space="preserve"> </w:t>
            </w:r>
            <w:r w:rsidR="00CE0BD2" w:rsidRPr="00661896">
              <w:rPr>
                <w:b/>
              </w:rPr>
              <w:t>e</w:t>
            </w:r>
            <w:r w:rsidR="00BB2C7C" w:rsidRPr="00661896">
              <w:rPr>
                <w:b/>
              </w:rPr>
              <w:t xml:space="preserve">nd </w:t>
            </w:r>
            <w:r w:rsidR="00CE0BD2" w:rsidRPr="00661896">
              <w:rPr>
                <w:b/>
              </w:rPr>
              <w:t>d</w:t>
            </w:r>
            <w:r w:rsidR="00BB2C7C" w:rsidRPr="00661896">
              <w:rPr>
                <w:b/>
              </w:rPr>
              <w:t>ate</w:t>
            </w:r>
            <w:r w:rsidR="005326AD" w:rsidRPr="00661896">
              <w:rPr>
                <w:b/>
              </w:rPr>
              <w:t>s</w:t>
            </w:r>
          </w:p>
        </w:tc>
      </w:tr>
      <w:tr w:rsidR="00BB2C7C" w14:paraId="60D16107" w14:textId="77777777" w:rsidTr="005326AD">
        <w:tc>
          <w:tcPr>
            <w:tcW w:w="1074" w:type="dxa"/>
            <w:gridSpan w:val="4"/>
            <w:tcBorders>
              <w:right w:val="nil"/>
            </w:tcBorders>
          </w:tcPr>
          <w:p w14:paraId="2BA1A506" w14:textId="77777777" w:rsidR="00BB2C7C" w:rsidRPr="004F77CE" w:rsidRDefault="00BB2C7C" w:rsidP="00FD229A">
            <w:pPr>
              <w:rPr>
                <w:rFonts w:asciiTheme="minorHAnsi" w:hAnsiTheme="minorHAnsi"/>
                <w:b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Start:</w:t>
            </w:r>
          </w:p>
          <w:p w14:paraId="7344A268" w14:textId="77777777" w:rsidR="00BB2C7C" w:rsidRPr="00CE0BD2" w:rsidRDefault="00BB2C7C" w:rsidP="00FD229A">
            <w:pPr>
              <w:rPr>
                <w:rFonts w:asciiTheme="minorHAnsi" w:hAnsiTheme="minorHAnsi"/>
                <w:b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End:</w:t>
            </w:r>
          </w:p>
        </w:tc>
        <w:tc>
          <w:tcPr>
            <w:tcW w:w="8901" w:type="dxa"/>
            <w:tcBorders>
              <w:left w:val="nil"/>
            </w:tcBorders>
          </w:tcPr>
          <w:p w14:paraId="2B1757B5" w14:textId="77777777" w:rsidR="0045568D" w:rsidRDefault="0017523A" w:rsidP="009D3DBA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March</w:t>
            </w:r>
            <w:r w:rsidR="001D0C39">
              <w:rPr>
                <w:rFonts w:asciiTheme="minorHAnsi" w:hAnsiTheme="minorHAnsi"/>
                <w:szCs w:val="24"/>
              </w:rPr>
              <w:t xml:space="preserve"> 2018</w:t>
            </w:r>
          </w:p>
          <w:p w14:paraId="398C9232" w14:textId="77777777" w:rsidR="001D0C39" w:rsidRDefault="0017523A" w:rsidP="009D3DBA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September</w:t>
            </w:r>
            <w:r w:rsidR="001D0C39">
              <w:rPr>
                <w:rFonts w:asciiTheme="minorHAnsi" w:hAnsiTheme="minorHAnsi"/>
                <w:szCs w:val="24"/>
              </w:rPr>
              <w:t xml:space="preserve"> 2018</w:t>
            </w:r>
          </w:p>
        </w:tc>
      </w:tr>
      <w:tr w:rsidR="00BB2C7C" w:rsidRPr="0047234A" w14:paraId="79C0DC14" w14:textId="77777777" w:rsidTr="001C6C8A">
        <w:tc>
          <w:tcPr>
            <w:tcW w:w="9975" w:type="dxa"/>
            <w:gridSpan w:val="5"/>
            <w:shd w:val="clear" w:color="auto" w:fill="8DB3E2" w:themeFill="text2" w:themeFillTint="66"/>
          </w:tcPr>
          <w:p w14:paraId="5B8433B7" w14:textId="77777777" w:rsidR="00BB2C7C" w:rsidRPr="00B37656" w:rsidRDefault="00B37656" w:rsidP="00B37656">
            <w:pPr>
              <w:tabs>
                <w:tab w:val="left" w:pos="-142"/>
                <w:tab w:val="left" w:pos="284"/>
              </w:tabs>
              <w:rPr>
                <w:i/>
                <w:sz w:val="20"/>
                <w:szCs w:val="20"/>
              </w:rPr>
            </w:pPr>
            <w:bookmarkStart w:id="0" w:name="_GoBack"/>
            <w:r>
              <w:rPr>
                <w:b/>
              </w:rPr>
              <w:t xml:space="preserve">9 </w:t>
            </w:r>
            <w:r w:rsidR="00BB2C7C" w:rsidRPr="00B37656">
              <w:rPr>
                <w:b/>
              </w:rPr>
              <w:t>Expected costs</w:t>
            </w:r>
          </w:p>
        </w:tc>
      </w:tr>
      <w:bookmarkEnd w:id="0"/>
      <w:tr w:rsidR="00BB2C7C" w:rsidRPr="00CB0FC1" w14:paraId="73ABE617" w14:textId="77777777" w:rsidTr="005326AD">
        <w:tc>
          <w:tcPr>
            <w:tcW w:w="9975" w:type="dxa"/>
            <w:gridSpan w:val="5"/>
          </w:tcPr>
          <w:p w14:paraId="6C28C8CA" w14:textId="77777777" w:rsidR="0017523A" w:rsidRPr="00CB0FC1" w:rsidRDefault="0017523A" w:rsidP="0080305C">
            <w:r>
              <w:t xml:space="preserve">It is estimated that the work will need the involvement of a team of methodologists over a </w:t>
            </w:r>
            <w:proofErr w:type="gramStart"/>
            <w:r>
              <w:t>7 month</w:t>
            </w:r>
            <w:proofErr w:type="gramEnd"/>
            <w:r>
              <w:t xml:space="preserve"> period. </w:t>
            </w:r>
            <w:proofErr w:type="gramStart"/>
            <w:r w:rsidR="0080305C">
              <w:t>Support would be provided by experts</w:t>
            </w:r>
            <w:proofErr w:type="gramEnd"/>
            <w:r w:rsidR="0080305C">
              <w:t xml:space="preserve"> from the CSPA community due to links with architecture.  </w:t>
            </w:r>
          </w:p>
        </w:tc>
      </w:tr>
    </w:tbl>
    <w:p w14:paraId="24A6F22C" w14:textId="77777777" w:rsidR="005326AD" w:rsidRPr="005326AD" w:rsidRDefault="005326AD" w:rsidP="0093771B">
      <w:pPr>
        <w:rPr>
          <w:sz w:val="24"/>
          <w:szCs w:val="24"/>
        </w:rPr>
      </w:pPr>
    </w:p>
    <w:sectPr w:rsidR="005326AD" w:rsidRPr="005326AD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5653"/>
    <w:multiLevelType w:val="hybridMultilevel"/>
    <w:tmpl w:val="3FE6A5A0"/>
    <w:lvl w:ilvl="0" w:tplc="B14C5B68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6D51F6"/>
    <w:multiLevelType w:val="hybridMultilevel"/>
    <w:tmpl w:val="B316F5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A4236"/>
    <w:multiLevelType w:val="hybridMultilevel"/>
    <w:tmpl w:val="A3FEE974"/>
    <w:lvl w:ilvl="0" w:tplc="F85C78FA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4F7E77"/>
    <w:multiLevelType w:val="hybridMultilevel"/>
    <w:tmpl w:val="F1CCE12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73E8F"/>
    <w:multiLevelType w:val="hybridMultilevel"/>
    <w:tmpl w:val="6E900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A1ED4"/>
    <w:multiLevelType w:val="hybridMultilevel"/>
    <w:tmpl w:val="AD6A6E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F7741"/>
    <w:multiLevelType w:val="hybridMultilevel"/>
    <w:tmpl w:val="622A70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B854602"/>
    <w:multiLevelType w:val="hybridMultilevel"/>
    <w:tmpl w:val="21E804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A1939"/>
    <w:multiLevelType w:val="hybridMultilevel"/>
    <w:tmpl w:val="7C9866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6EE7988"/>
    <w:multiLevelType w:val="hybridMultilevel"/>
    <w:tmpl w:val="58646C3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15"/>
  </w:num>
  <w:num w:numId="4">
    <w:abstractNumId w:val="2"/>
  </w:num>
  <w:num w:numId="5">
    <w:abstractNumId w:val="17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4"/>
  </w:num>
  <w:num w:numId="11">
    <w:abstractNumId w:val="0"/>
  </w:num>
  <w:num w:numId="12">
    <w:abstractNumId w:val="10"/>
  </w:num>
  <w:num w:numId="13">
    <w:abstractNumId w:val="13"/>
  </w:num>
  <w:num w:numId="14">
    <w:abstractNumId w:val="1"/>
  </w:num>
  <w:num w:numId="15">
    <w:abstractNumId w:val="14"/>
  </w:num>
  <w:num w:numId="16">
    <w:abstractNumId w:val="11"/>
  </w:num>
  <w:num w:numId="17">
    <w:abstractNumId w:val="16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B1"/>
    <w:rsid w:val="00016B35"/>
    <w:rsid w:val="000507F4"/>
    <w:rsid w:val="000736C7"/>
    <w:rsid w:val="00091E36"/>
    <w:rsid w:val="00092FD4"/>
    <w:rsid w:val="000957FE"/>
    <w:rsid w:val="000E2CBC"/>
    <w:rsid w:val="00115013"/>
    <w:rsid w:val="001457E5"/>
    <w:rsid w:val="00172450"/>
    <w:rsid w:val="0017523A"/>
    <w:rsid w:val="001911E3"/>
    <w:rsid w:val="001B57E8"/>
    <w:rsid w:val="001C6C8A"/>
    <w:rsid w:val="001C6F24"/>
    <w:rsid w:val="001D0C39"/>
    <w:rsid w:val="001D131C"/>
    <w:rsid w:val="001D2187"/>
    <w:rsid w:val="00204A5B"/>
    <w:rsid w:val="002123DA"/>
    <w:rsid w:val="00212999"/>
    <w:rsid w:val="002214E1"/>
    <w:rsid w:val="00260ACA"/>
    <w:rsid w:val="00284B48"/>
    <w:rsid w:val="002A2F4F"/>
    <w:rsid w:val="002C479F"/>
    <w:rsid w:val="00351862"/>
    <w:rsid w:val="00375C43"/>
    <w:rsid w:val="00397639"/>
    <w:rsid w:val="0042690E"/>
    <w:rsid w:val="004551B1"/>
    <w:rsid w:val="0045568D"/>
    <w:rsid w:val="0049550D"/>
    <w:rsid w:val="004A3622"/>
    <w:rsid w:val="004E79C1"/>
    <w:rsid w:val="004F3424"/>
    <w:rsid w:val="00527819"/>
    <w:rsid w:val="00527EA0"/>
    <w:rsid w:val="005326AD"/>
    <w:rsid w:val="00561290"/>
    <w:rsid w:val="00576F23"/>
    <w:rsid w:val="0057785A"/>
    <w:rsid w:val="005A2F4B"/>
    <w:rsid w:val="005E4B10"/>
    <w:rsid w:val="006305D5"/>
    <w:rsid w:val="006530E5"/>
    <w:rsid w:val="00661896"/>
    <w:rsid w:val="006C0011"/>
    <w:rsid w:val="006C440A"/>
    <w:rsid w:val="007A58AE"/>
    <w:rsid w:val="007B3A7C"/>
    <w:rsid w:val="007B60FE"/>
    <w:rsid w:val="007E5589"/>
    <w:rsid w:val="007F20D3"/>
    <w:rsid w:val="007F6715"/>
    <w:rsid w:val="0080305C"/>
    <w:rsid w:val="00843355"/>
    <w:rsid w:val="0089169C"/>
    <w:rsid w:val="00893A42"/>
    <w:rsid w:val="008D76EF"/>
    <w:rsid w:val="0093771B"/>
    <w:rsid w:val="0094085C"/>
    <w:rsid w:val="0097630F"/>
    <w:rsid w:val="009C634A"/>
    <w:rsid w:val="009D3DBA"/>
    <w:rsid w:val="00A31019"/>
    <w:rsid w:val="00A77F79"/>
    <w:rsid w:val="00A95AA4"/>
    <w:rsid w:val="00AC188E"/>
    <w:rsid w:val="00AC662B"/>
    <w:rsid w:val="00AE1615"/>
    <w:rsid w:val="00AE6F0F"/>
    <w:rsid w:val="00B1095F"/>
    <w:rsid w:val="00B37656"/>
    <w:rsid w:val="00B55C7B"/>
    <w:rsid w:val="00BB2C7C"/>
    <w:rsid w:val="00BB33D9"/>
    <w:rsid w:val="00C109A2"/>
    <w:rsid w:val="00C47CFE"/>
    <w:rsid w:val="00C6106B"/>
    <w:rsid w:val="00CD4A5E"/>
    <w:rsid w:val="00CE0BD2"/>
    <w:rsid w:val="00CE2F8B"/>
    <w:rsid w:val="00D21AE5"/>
    <w:rsid w:val="00D440AA"/>
    <w:rsid w:val="00D455E4"/>
    <w:rsid w:val="00D54F42"/>
    <w:rsid w:val="00D870C6"/>
    <w:rsid w:val="00DA0521"/>
    <w:rsid w:val="00DA0AFB"/>
    <w:rsid w:val="00E131DA"/>
    <w:rsid w:val="00E3483B"/>
    <w:rsid w:val="00EA50EF"/>
    <w:rsid w:val="00EB57B6"/>
    <w:rsid w:val="00EC3E0D"/>
    <w:rsid w:val="00F12E8C"/>
    <w:rsid w:val="00F24557"/>
    <w:rsid w:val="00F54CA9"/>
    <w:rsid w:val="00F658B9"/>
    <w:rsid w:val="00F716F0"/>
    <w:rsid w:val="00FC1B01"/>
    <w:rsid w:val="00FD229A"/>
    <w:rsid w:val="00FD3B04"/>
    <w:rsid w:val="00FF565D"/>
    <w:rsid w:val="00FF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B4DDC"/>
  <w15:docId w15:val="{2E74E901-B2DF-404F-AA48-36122C163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7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BC67F-74D7-4284-A067-DED89900A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UNECE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HLG2017; SMMU; ModernStats</cp:keywords>
  <cp:lastModifiedBy>Therese Lalor</cp:lastModifiedBy>
  <cp:revision>3</cp:revision>
  <dcterms:created xsi:type="dcterms:W3CDTF">2017-11-13T19:03:00Z</dcterms:created>
  <dcterms:modified xsi:type="dcterms:W3CDTF">2017-11-20T14:50:00Z</dcterms:modified>
  <cp:category>project proposal</cp:category>
</cp:coreProperties>
</file>