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450" w:rsidRPr="00B30924" w:rsidRDefault="00172450" w:rsidP="0017245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B30924">
        <w:rPr>
          <w:rFonts w:asciiTheme="minorHAnsi" w:hAnsiTheme="minorHAnsi" w:cstheme="minorHAnsi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7728" behindDoc="0" locked="0" layoutInCell="1" allowOverlap="1" wp14:anchorId="08D44137" wp14:editId="51D683AA">
            <wp:simplePos x="0" y="0"/>
            <wp:positionH relativeFrom="margin">
              <wp:posOffset>4030980</wp:posOffset>
            </wp:positionH>
            <wp:positionV relativeFrom="paragraph">
              <wp:posOffset>7620</wp:posOffset>
            </wp:positionV>
            <wp:extent cx="2174138" cy="42199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902" cy="434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t>UNECE High-level Group for the</w:t>
      </w:r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br/>
      </w:r>
      <w:proofErr w:type="spellStart"/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t>Modernisation</w:t>
      </w:r>
      <w:proofErr w:type="spellEnd"/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t xml:space="preserve"> of Official Statistics</w:t>
      </w:r>
    </w:p>
    <w:p w:rsidR="00172450" w:rsidRPr="00B30924" w:rsidRDefault="00172450">
      <w:pPr>
        <w:rPr>
          <w:rFonts w:asciiTheme="minorHAnsi" w:hAnsiTheme="minorHAnsi" w:cstheme="minorHAnsi"/>
          <w:sz w:val="22"/>
          <w:szCs w:val="22"/>
          <w:lang w:val="en-GB"/>
        </w:rPr>
      </w:pPr>
    </w:p>
    <w:p w:rsidR="00BD1446" w:rsidRPr="00B30924" w:rsidRDefault="00172450" w:rsidP="00E00B5A">
      <w:pPr>
        <w:tabs>
          <w:tab w:val="left" w:pos="0"/>
          <w:tab w:val="left" w:pos="5940"/>
          <w:tab w:val="left" w:pos="6939"/>
          <w:tab w:val="right" w:pos="9356"/>
        </w:tabs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t>Business Case for</w:t>
      </w:r>
      <w:r w:rsidR="003924CE" w:rsidRPr="00B30924">
        <w:rPr>
          <w:rFonts w:asciiTheme="minorHAnsi" w:hAnsiTheme="minorHAnsi" w:cstheme="minorHAnsi"/>
          <w:b/>
          <w:sz w:val="22"/>
          <w:szCs w:val="22"/>
          <w:lang w:val="en-US"/>
        </w:rPr>
        <w:t>:</w:t>
      </w:r>
      <w:r w:rsidRPr="00B30924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bookmarkStart w:id="0" w:name="_GoBack"/>
      <w:bookmarkEnd w:id="0"/>
      <w:r w:rsidR="00BD1446" w:rsidRPr="00B30924">
        <w:rPr>
          <w:rFonts w:asciiTheme="minorHAnsi" w:hAnsiTheme="minorHAnsi" w:cstheme="minorHAnsi"/>
          <w:b/>
          <w:sz w:val="22"/>
          <w:szCs w:val="22"/>
          <w:lang w:val="en-US"/>
        </w:rPr>
        <w:t xml:space="preserve">Detailing GAMSO Corporate Support activities in connection to GSBPM </w:t>
      </w:r>
    </w:p>
    <w:p w:rsidR="00172450" w:rsidRPr="00B30924" w:rsidRDefault="00172450">
      <w:pPr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9900" w:type="dxa"/>
        <w:tblInd w:w="-77" w:type="dxa"/>
        <w:tblLook w:val="01E0" w:firstRow="1" w:lastRow="1" w:firstColumn="1" w:lastColumn="1" w:noHBand="0" w:noVBand="0"/>
      </w:tblPr>
      <w:tblGrid>
        <w:gridCol w:w="9900"/>
      </w:tblGrid>
      <w:tr w:rsidR="001B3814" w:rsidRPr="00B30924" w:rsidTr="00172450"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50" w:rsidRPr="00B30924" w:rsidRDefault="004551B1" w:rsidP="00BD1446">
            <w:pPr>
              <w:tabs>
                <w:tab w:val="left" w:pos="0"/>
                <w:tab w:val="left" w:pos="850"/>
                <w:tab w:val="left" w:pos="1191"/>
                <w:tab w:val="left" w:pos="1531"/>
                <w:tab w:val="left" w:pos="5940"/>
                <w:tab w:val="left" w:pos="6939"/>
                <w:tab w:val="right" w:pos="9356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This business case was prepared by </w:t>
            </w:r>
            <w:r w:rsidR="002041A0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Eduardo S. </w:t>
            </w:r>
            <w:proofErr w:type="spellStart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Jallath</w:t>
            </w:r>
            <w:proofErr w:type="spellEnd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from the Instituto Nacional de </w:t>
            </w:r>
            <w:proofErr w:type="spellStart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Estadística</w:t>
            </w:r>
            <w:proofErr w:type="spellEnd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 </w:t>
            </w:r>
            <w:proofErr w:type="spellStart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Geografía</w:t>
            </w:r>
            <w:proofErr w:type="spellEnd"/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(INEGI) </w:t>
            </w:r>
            <w:r w:rsidR="006466D9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on behalf of the </w:t>
            </w:r>
            <w:r w:rsidR="00BD1446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Task team</w:t>
            </w:r>
            <w:r w:rsidR="00B30924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on</w:t>
            </w:r>
            <w:r w:rsidR="00BD1446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6466D9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Alignment of GSBPM Overarching Processes and GAMSO Activities </w:t>
            </w:r>
            <w:r w:rsidR="00FC47FB"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</w:t>
            </w:r>
            <w:r w:rsidRPr="00B3092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submitted to the HLG-MOS for their approval.</w:t>
            </w:r>
          </w:p>
        </w:tc>
      </w:tr>
    </w:tbl>
    <w:p w:rsidR="004551B1" w:rsidRPr="00B30924" w:rsidRDefault="004551B1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0507F4" w:rsidRPr="00B30924" w:rsidRDefault="000507F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Style w:val="TableGrid"/>
        <w:tblW w:w="9975" w:type="dxa"/>
        <w:tblInd w:w="-147" w:type="dxa"/>
        <w:tblLook w:val="04A0" w:firstRow="1" w:lastRow="0" w:firstColumn="1" w:lastColumn="0" w:noHBand="0" w:noVBand="1"/>
      </w:tblPr>
      <w:tblGrid>
        <w:gridCol w:w="601"/>
        <w:gridCol w:w="4085"/>
        <w:gridCol w:w="226"/>
        <w:gridCol w:w="586"/>
        <w:gridCol w:w="4477"/>
      </w:tblGrid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0507F4" w:rsidRPr="00B30924" w:rsidRDefault="002C1717" w:rsidP="00B3765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Type of Activity </w:t>
            </w:r>
          </w:p>
        </w:tc>
      </w:tr>
      <w:tr w:rsidR="001B3814" w:rsidRPr="00B30924" w:rsidTr="002C1717">
        <w:sdt>
          <w:sdtPr>
            <w:rPr>
              <w:rFonts w:asciiTheme="minorHAnsi" w:hAnsiTheme="minorHAnsi" w:cstheme="minorHAnsi"/>
              <w:sz w:val="22"/>
              <w:szCs w:val="22"/>
            </w:rPr>
            <w:id w:val="-1695214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B30924" w:rsidRDefault="002C1717" w:rsidP="00EC3E2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3092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B30924" w:rsidRDefault="002C1717" w:rsidP="00EC3E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sz w:val="22"/>
                <w:szCs w:val="22"/>
              </w:rPr>
              <w:t>New project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0611779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B30924" w:rsidRDefault="00BD1446" w:rsidP="00EC3E2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3092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4477" w:type="dxa"/>
          </w:tcPr>
          <w:p w:rsidR="002C1717" w:rsidRPr="00B30924" w:rsidRDefault="002C1717" w:rsidP="00EC3E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sz w:val="22"/>
                <w:szCs w:val="22"/>
              </w:rPr>
              <w:t>New activity</w:t>
            </w:r>
          </w:p>
        </w:tc>
      </w:tr>
      <w:tr w:rsidR="001B3814" w:rsidRPr="00B30924" w:rsidTr="002C1717">
        <w:sdt>
          <w:sdtPr>
            <w:rPr>
              <w:rFonts w:asciiTheme="minorHAnsi" w:hAnsiTheme="minorHAnsi" w:cstheme="minorHAnsi"/>
              <w:sz w:val="22"/>
              <w:szCs w:val="22"/>
            </w:rPr>
            <w:id w:val="-1361590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dxa"/>
              </w:tcPr>
              <w:p w:rsidR="002C1717" w:rsidRPr="00B30924" w:rsidRDefault="002C1717" w:rsidP="00EC3E2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3092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311" w:type="dxa"/>
            <w:gridSpan w:val="2"/>
          </w:tcPr>
          <w:p w:rsidR="002C1717" w:rsidRPr="00B30924" w:rsidRDefault="002C1717" w:rsidP="00EC3E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sz w:val="22"/>
                <w:szCs w:val="22"/>
              </w:rPr>
              <w:t>Extension of existing project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71584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6" w:type="dxa"/>
              </w:tcPr>
              <w:p w:rsidR="002C1717" w:rsidRPr="00B30924" w:rsidRDefault="00BD1446" w:rsidP="00EC3E2B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30924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477" w:type="dxa"/>
          </w:tcPr>
          <w:p w:rsidR="002C1717" w:rsidRPr="00B30924" w:rsidRDefault="002C1717" w:rsidP="00EC3E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sz w:val="22"/>
                <w:szCs w:val="22"/>
              </w:rPr>
              <w:t>Extension of existing activity</w:t>
            </w:r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Purpose</w:t>
            </w:r>
          </w:p>
        </w:tc>
      </w:tr>
      <w:tr w:rsidR="001B3814" w:rsidRPr="00B30924" w:rsidTr="005326AD">
        <w:tc>
          <w:tcPr>
            <w:tcW w:w="997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B4297E" w:rsidRPr="00B30924" w:rsidRDefault="002041A0" w:rsidP="00D70BA1">
            <w:pPr>
              <w:spacing w:after="240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HLG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-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MOS models have proved to be quite valuable for </w:t>
            </w:r>
            <w:r w:rsidR="00AA2C84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NSOs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. 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However, while GSBPM has been widely adopted, other models like </w:t>
            </w:r>
            <w:r w:rsidR="008D21B7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GAMSO and GSIM seem to have a slower rate of adoption.  One of the reasons 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might be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the absence of general models that can harmonize synergetic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 adoption.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 xml:space="preserve"> To offset this situation, </w:t>
            </w:r>
            <w:proofErr w:type="spellStart"/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i</w:t>
            </w:r>
            <w:proofErr w:type="spellEnd"/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n 2019, the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HLG MOS Modernization Groups started some initiatives.  One of the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was the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task team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B4297E" w:rsidRPr="00B30924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  <w:t>Alignment of GSBPM Overarching Processes and GAMSO Activities</w:t>
            </w:r>
            <w:r w:rsidR="00BD1446" w:rsidRPr="00B30924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  <w:t xml:space="preserve"> within the Supporting Standards Group</w:t>
            </w:r>
            <w:r w:rsidR="00EC3901" w:rsidRPr="00B30924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  <w:t xml:space="preserve">. 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This Group developed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a document to describe a conceptual model to link GAMSO and GSBPM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and illustrated 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the link between the GAMSO Activities and the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six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Overarching Processes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(OPs) </w:t>
            </w:r>
            <w:r w:rsidR="00B4297E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described in the GSBPM 5.1 paper.</w:t>
            </w:r>
          </w:p>
          <w:p w:rsidR="00D70BA1" w:rsidRPr="00B30924" w:rsidRDefault="00B4297E" w:rsidP="00D70BA1">
            <w:pPr>
              <w:spacing w:after="240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Nonetheless, there is a need 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to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make explicit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how the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remaining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Corporate Support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Activities 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included in GAMSO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relate 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to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the activities of the 8 GSBPM phases.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 The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Corporate Support 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Activities </w:t>
            </w:r>
            <w:r w:rsidR="00EC390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 this case are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: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n-US"/>
              </w:rPr>
              <w:t>Manage Business Performance and Legislation.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Statistical Methodology.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Consumers.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Data Suppliers. 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Finances.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Human Resources.</w:t>
            </w:r>
          </w:p>
          <w:p w:rsidR="00D70BA1" w:rsidRPr="00B30924" w:rsidRDefault="00D70BA1" w:rsidP="000724AD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s-MX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s-MX"/>
              </w:rPr>
              <w:t>Manage Information Technology (IT).</w:t>
            </w:r>
          </w:p>
          <w:p w:rsidR="00D70BA1" w:rsidRPr="00B30924" w:rsidRDefault="00D70BA1" w:rsidP="00D70BA1">
            <w:pPr>
              <w:pStyle w:val="ListParagraph"/>
              <w:numPr>
                <w:ilvl w:val="0"/>
                <w:numId w:val="12"/>
              </w:numPr>
              <w:spacing w:after="240"/>
              <w:rPr>
                <w:rFonts w:asciiTheme="minorHAnsi" w:hAnsiTheme="minorHAnsi" w:cstheme="minorHAnsi"/>
                <w:iCs/>
                <w:sz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lang w:val="en-US"/>
              </w:rPr>
              <w:t>Manage Buildings and Physical Space. </w:t>
            </w:r>
          </w:p>
          <w:p w:rsidR="002C1717" w:rsidRPr="00B30924" w:rsidRDefault="009D3361" w:rsidP="00BD1446">
            <w:pPr>
              <w:spacing w:after="240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As a second step, it is convenient to define the 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relationship of the Activities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in GAMSO and the phases of GSBPM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with the Data Management </w:t>
            </w:r>
            <w:r w:rsidR="002D267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Body of Knowledge </w:t>
            </w:r>
            <w:r w:rsidR="00D70BA1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areas defined in the DMBOK.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 This definition is relevant in the context of National Data Strategies that many NSOs are undertaking.</w:t>
            </w:r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Description</w:t>
            </w:r>
            <w:proofErr w:type="spellEnd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of</w:t>
            </w:r>
            <w:proofErr w:type="spellEnd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the</w:t>
            </w:r>
            <w:proofErr w:type="spellEnd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activity</w:t>
            </w:r>
            <w:proofErr w:type="spellEnd"/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auto"/>
          </w:tcPr>
          <w:p w:rsidR="006466D9" w:rsidRPr="00B30924" w:rsidRDefault="009D3361" w:rsidP="00BD1446">
            <w:pPr>
              <w:spacing w:after="120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The proposal is to create a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Task team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 the context of the Supporting Standards</w:t>
            </w:r>
            <w:r w:rsidR="000E6EEF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Group </w:t>
            </w:r>
            <w:r w:rsidR="000E6EEF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to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continue with the documentation of GAMSO-GSBPM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relationships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adding the descriptions of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Corporate Support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Activities that are explicit in GAMSO 1.2 but are absent in the GSBPM 5.1 paper. </w:t>
            </w:r>
            <w:r w:rsidR="002D267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Moreover, this group can</w:t>
            </w:r>
            <w:r w:rsidR="000E6EEF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2D267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propos</w:t>
            </w:r>
            <w:r w:rsidR="000E6EEF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</w:t>
            </w:r>
            <w:r w:rsidR="002D267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how the 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DMBOK fits in the context of GAMSO and GSBPM.</w:t>
            </w:r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Alternatives</w:t>
            </w:r>
            <w:proofErr w:type="spellEnd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considered</w:t>
            </w:r>
            <w:proofErr w:type="spellEnd"/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auto"/>
          </w:tcPr>
          <w:p w:rsidR="002C1717" w:rsidRPr="00B30924" w:rsidRDefault="002D267B" w:rsidP="00BD1446">
            <w:pPr>
              <w:spacing w:after="240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The absence of an explicit relationship of the GAMSO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Corporate Support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Activities and the GSBPM </w:t>
            </w:r>
            <w:r w:rsidR="000E6EEF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could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deter expanded adoption of </w:t>
            </w:r>
            <w:r w:rsidR="00BD1446"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both models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 NSOs.</w:t>
            </w:r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B3092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How does it relate to the HLG-MOS vision and other activities under the HLG-MOS?</w:t>
            </w:r>
          </w:p>
        </w:tc>
      </w:tr>
      <w:tr w:rsidR="001B3814" w:rsidRPr="00B30924" w:rsidTr="005326AD">
        <w:trPr>
          <w:trHeight w:val="391"/>
        </w:trPr>
        <w:tc>
          <w:tcPr>
            <w:tcW w:w="9975" w:type="dxa"/>
            <w:gridSpan w:val="5"/>
          </w:tcPr>
          <w:p w:rsidR="00065E11" w:rsidRPr="00B30924" w:rsidRDefault="002D267B" w:rsidP="00B30924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 xml:space="preserve">This activity </w:t>
            </w:r>
            <w:r w:rsidR="00FD6DB4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is in line with the HLG-MOS mission as it</w:t>
            </w:r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 xml:space="preserve"> is enhancing the “</w:t>
            </w:r>
            <w:r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common platform for experts to develop solutions in a flexible and agile way</w:t>
            </w:r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”</w:t>
            </w:r>
            <w:r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. </w:t>
            </w:r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 xml:space="preserve"> GSBPM is the </w:t>
            </w:r>
            <w:proofErr w:type="spellStart"/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centr</w:t>
            </w:r>
            <w:r w:rsidR="006466D9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e</w:t>
            </w:r>
            <w:proofErr w:type="spellEnd"/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 xml:space="preserve"> of world-wide official statistics standardization.  This task expands the context of GSBPM and the usability of HLG</w:t>
            </w:r>
            <w:r w:rsidR="006466D9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-</w:t>
            </w:r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MOS models</w:t>
            </w:r>
            <w:r w:rsidR="00CB1DB4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, particularly of GAMSO</w:t>
            </w:r>
            <w:r w:rsidR="00FC47FB" w:rsidRPr="00B30924">
              <w:rPr>
                <w:rFonts w:asciiTheme="minorHAnsi" w:eastAsiaTheme="minorHAnsi" w:hAnsiTheme="minorHAnsi" w:cstheme="minorHAnsi"/>
                <w:iCs/>
                <w:sz w:val="22"/>
                <w:szCs w:val="22"/>
                <w:lang w:val="en-US" w:eastAsia="en-US"/>
              </w:rPr>
              <w:t>.</w:t>
            </w:r>
          </w:p>
        </w:tc>
      </w:tr>
      <w:tr w:rsidR="001B3814" w:rsidRPr="00B30924" w:rsidTr="005326AD">
        <w:tc>
          <w:tcPr>
            <w:tcW w:w="9975" w:type="dxa"/>
            <w:gridSpan w:val="5"/>
            <w:shd w:val="clear" w:color="auto" w:fill="8DB3E2" w:themeFill="text2" w:themeFillTint="66"/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B30924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lastRenderedPageBreak/>
              <w:t>Proposed start and end dates</w:t>
            </w:r>
          </w:p>
        </w:tc>
      </w:tr>
      <w:tr w:rsidR="001B3814" w:rsidRPr="00B30924" w:rsidTr="002C1717">
        <w:tc>
          <w:tcPr>
            <w:tcW w:w="4686" w:type="dxa"/>
            <w:gridSpan w:val="2"/>
            <w:tcBorders>
              <w:right w:val="single" w:sz="4" w:space="0" w:color="auto"/>
            </w:tcBorders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>Start</w:t>
            </w:r>
            <w:proofErr w:type="spellEnd"/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proofErr w:type="spellStart"/>
            <w:r w:rsidRPr="00B30924">
              <w:rPr>
                <w:rFonts w:asciiTheme="minorHAnsi" w:hAnsiTheme="minorHAnsi" w:cstheme="minorHAnsi"/>
                <w:iCs/>
                <w:sz w:val="22"/>
                <w:szCs w:val="22"/>
              </w:rPr>
              <w:t>January</w:t>
            </w:r>
            <w:proofErr w:type="spellEnd"/>
            <w:r w:rsidRPr="00B3092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2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</w:rPr>
              <w:t>020</w:t>
            </w:r>
          </w:p>
        </w:tc>
        <w:tc>
          <w:tcPr>
            <w:tcW w:w="5289" w:type="dxa"/>
            <w:gridSpan w:val="3"/>
            <w:tcBorders>
              <w:left w:val="single" w:sz="4" w:space="0" w:color="auto"/>
            </w:tcBorders>
          </w:tcPr>
          <w:p w:rsidR="002C1717" w:rsidRPr="00B30924" w:rsidRDefault="002C1717" w:rsidP="002C17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2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End: </w:t>
            </w:r>
            <w:r w:rsidRPr="00B30924">
              <w:rPr>
                <w:rFonts w:asciiTheme="minorHAnsi" w:hAnsiTheme="minorHAnsi" w:cstheme="minorHAnsi"/>
                <w:iCs/>
                <w:sz w:val="22"/>
                <w:szCs w:val="22"/>
              </w:rPr>
              <w:t>December 20</w:t>
            </w:r>
            <w:r w:rsidR="00FC47FB" w:rsidRPr="00B30924">
              <w:rPr>
                <w:rFonts w:asciiTheme="minorHAnsi" w:hAnsiTheme="minorHAnsi" w:cstheme="minorHAnsi"/>
                <w:iCs/>
                <w:sz w:val="22"/>
                <w:szCs w:val="22"/>
              </w:rPr>
              <w:t>20</w:t>
            </w:r>
          </w:p>
        </w:tc>
      </w:tr>
    </w:tbl>
    <w:p w:rsidR="004E79C1" w:rsidRPr="00B30924" w:rsidRDefault="004E79C1" w:rsidP="005326AD">
      <w:p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</w:p>
    <w:sectPr w:rsidR="004E79C1" w:rsidRPr="00B30924" w:rsidSect="00351862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2D6" w:rsidRDefault="00D422D6" w:rsidP="004E4F90">
      <w:r>
        <w:separator/>
      </w:r>
    </w:p>
  </w:endnote>
  <w:endnote w:type="continuationSeparator" w:id="0">
    <w:p w:rsidR="00D422D6" w:rsidRDefault="00D422D6" w:rsidP="004E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2D6" w:rsidRDefault="00D422D6" w:rsidP="004E4F90">
      <w:r>
        <w:separator/>
      </w:r>
    </w:p>
  </w:footnote>
  <w:footnote w:type="continuationSeparator" w:id="0">
    <w:p w:rsidR="00D422D6" w:rsidRDefault="00D422D6" w:rsidP="004E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150B"/>
    <w:multiLevelType w:val="multilevel"/>
    <w:tmpl w:val="E1FC25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B32070"/>
    <w:multiLevelType w:val="hybridMultilevel"/>
    <w:tmpl w:val="960CB2E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57D05"/>
    <w:multiLevelType w:val="multilevel"/>
    <w:tmpl w:val="E082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22CFE"/>
    <w:multiLevelType w:val="hybridMultilevel"/>
    <w:tmpl w:val="9C50327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93F9A"/>
    <w:multiLevelType w:val="hybridMultilevel"/>
    <w:tmpl w:val="6AA4B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2BF"/>
    <w:multiLevelType w:val="hybridMultilevel"/>
    <w:tmpl w:val="2AC416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960F37"/>
    <w:multiLevelType w:val="multilevel"/>
    <w:tmpl w:val="BDD8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84190"/>
    <w:multiLevelType w:val="hybridMultilevel"/>
    <w:tmpl w:val="97C4DB2E"/>
    <w:lvl w:ilvl="0" w:tplc="E6784A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8053B"/>
    <w:multiLevelType w:val="multilevel"/>
    <w:tmpl w:val="DDB03D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5E30F6"/>
    <w:multiLevelType w:val="multilevel"/>
    <w:tmpl w:val="98709B60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4EE317E"/>
    <w:multiLevelType w:val="hybridMultilevel"/>
    <w:tmpl w:val="B7269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C0077"/>
    <w:multiLevelType w:val="multilevel"/>
    <w:tmpl w:val="15EE8A5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1B1"/>
    <w:rsid w:val="000507F4"/>
    <w:rsid w:val="00065E11"/>
    <w:rsid w:val="000724AD"/>
    <w:rsid w:val="000736C7"/>
    <w:rsid w:val="000957FE"/>
    <w:rsid w:val="000E2CBC"/>
    <w:rsid w:val="000E6EEF"/>
    <w:rsid w:val="001457E5"/>
    <w:rsid w:val="0015565B"/>
    <w:rsid w:val="00172450"/>
    <w:rsid w:val="001B3814"/>
    <w:rsid w:val="001B57E8"/>
    <w:rsid w:val="001D131C"/>
    <w:rsid w:val="001D2187"/>
    <w:rsid w:val="002041A0"/>
    <w:rsid w:val="00212999"/>
    <w:rsid w:val="002214E1"/>
    <w:rsid w:val="00284B48"/>
    <w:rsid w:val="002C1717"/>
    <w:rsid w:val="002D267B"/>
    <w:rsid w:val="00351862"/>
    <w:rsid w:val="0037109D"/>
    <w:rsid w:val="003924CE"/>
    <w:rsid w:val="00397639"/>
    <w:rsid w:val="0042690E"/>
    <w:rsid w:val="004551B1"/>
    <w:rsid w:val="0049550D"/>
    <w:rsid w:val="004C3A46"/>
    <w:rsid w:val="004E4F90"/>
    <w:rsid w:val="004E79C1"/>
    <w:rsid w:val="005326AD"/>
    <w:rsid w:val="0057785A"/>
    <w:rsid w:val="005A2F4B"/>
    <w:rsid w:val="006466D9"/>
    <w:rsid w:val="006530E5"/>
    <w:rsid w:val="00693A95"/>
    <w:rsid w:val="006B1241"/>
    <w:rsid w:val="006F4E9F"/>
    <w:rsid w:val="0077571A"/>
    <w:rsid w:val="007B3A7C"/>
    <w:rsid w:val="007F20D3"/>
    <w:rsid w:val="007F4360"/>
    <w:rsid w:val="00807DC8"/>
    <w:rsid w:val="00843355"/>
    <w:rsid w:val="0089169C"/>
    <w:rsid w:val="00893A42"/>
    <w:rsid w:val="008D21B7"/>
    <w:rsid w:val="008D5666"/>
    <w:rsid w:val="0094085C"/>
    <w:rsid w:val="0097630F"/>
    <w:rsid w:val="009D3361"/>
    <w:rsid w:val="009D3DBA"/>
    <w:rsid w:val="00A147A1"/>
    <w:rsid w:val="00A31019"/>
    <w:rsid w:val="00A77F79"/>
    <w:rsid w:val="00AA2C84"/>
    <w:rsid w:val="00B30924"/>
    <w:rsid w:val="00B37656"/>
    <w:rsid w:val="00B4297E"/>
    <w:rsid w:val="00BB2C7C"/>
    <w:rsid w:val="00BD1446"/>
    <w:rsid w:val="00CB1DB4"/>
    <w:rsid w:val="00CE0BD2"/>
    <w:rsid w:val="00CE2F8B"/>
    <w:rsid w:val="00CF178E"/>
    <w:rsid w:val="00D422D6"/>
    <w:rsid w:val="00D455E4"/>
    <w:rsid w:val="00D70BA1"/>
    <w:rsid w:val="00DA0AFB"/>
    <w:rsid w:val="00E00B5A"/>
    <w:rsid w:val="00E614E3"/>
    <w:rsid w:val="00E657B5"/>
    <w:rsid w:val="00EA50EF"/>
    <w:rsid w:val="00EB57B6"/>
    <w:rsid w:val="00EC3901"/>
    <w:rsid w:val="00F24557"/>
    <w:rsid w:val="00FC47FB"/>
    <w:rsid w:val="00FD3B04"/>
    <w:rsid w:val="00FD3D6F"/>
    <w:rsid w:val="00FD6DB4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8997C2"/>
  <w15:docId w15:val="{D4EA08C2-A6E7-4CC2-8439-A17907F7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267B"/>
    <w:rPr>
      <w:rFonts w:ascii="Times New Roman" w:eastAsia="Times New Roman" w:hAnsi="Times New Roman" w:cs="Times New Roman"/>
      <w:sz w:val="24"/>
      <w:szCs w:val="24"/>
      <w:lang w:val="es-MX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07F4"/>
    <w:pPr>
      <w:ind w:left="720"/>
      <w:contextualSpacing/>
    </w:pPr>
    <w:rPr>
      <w:rFonts w:ascii="Calibri" w:eastAsiaTheme="minorHAnsi" w:hAnsi="Calibri" w:cstheme="minorBidi"/>
      <w:szCs w:val="22"/>
      <w:lang w:val="en-AU" w:eastAsia="en-US"/>
    </w:rPr>
  </w:style>
  <w:style w:type="table" w:styleId="TableGrid">
    <w:name w:val="Table Grid"/>
    <w:basedOn w:val="TableNormal"/>
    <w:uiPriority w:val="59"/>
    <w:rsid w:val="000507F4"/>
    <w:rPr>
      <w:rFonts w:ascii="Calibri" w:hAnsi="Calibri"/>
      <w:sz w:val="24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97639"/>
  </w:style>
  <w:style w:type="character" w:styleId="CommentReference">
    <w:name w:val="annotation reference"/>
    <w:basedOn w:val="DefaultParagraphFont"/>
    <w:uiPriority w:val="99"/>
    <w:semiHidden/>
    <w:unhideWhenUsed/>
    <w:rsid w:val="004269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90E"/>
    <w:rPr>
      <w:rFonts w:asciiTheme="minorHAnsi" w:eastAsiaTheme="minorHAnsi" w:hAnsiTheme="minorHAnsi" w:cstheme="minorBid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9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9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90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2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F9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E4F90"/>
  </w:style>
  <w:style w:type="paragraph" w:styleId="Footer">
    <w:name w:val="footer"/>
    <w:basedOn w:val="Normal"/>
    <w:link w:val="FooterChar"/>
    <w:uiPriority w:val="99"/>
    <w:unhideWhenUsed/>
    <w:rsid w:val="004E4F9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E4F9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41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041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2622</Characters>
  <Application>Microsoft Office Word</Application>
  <DocSecurity>0</DocSecurity>
  <Lines>87</Lines>
  <Paragraphs>34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UNECE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</dc:creator>
  <cp:keywords>HLG2019; SMMU; ModernStats</cp:keywords>
  <cp:lastModifiedBy>Inkyung Choi</cp:lastModifiedBy>
  <cp:revision>4</cp:revision>
  <dcterms:created xsi:type="dcterms:W3CDTF">2019-11-01T13:29:00Z</dcterms:created>
  <dcterms:modified xsi:type="dcterms:W3CDTF">2019-11-01T13:30:00Z</dcterms:modified>
  <cp:category>activity</cp:category>
</cp:coreProperties>
</file>