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AEFC2" w14:textId="665E5E3E" w:rsidR="001F0D52" w:rsidRDefault="001F0D52" w:rsidP="00172450">
      <w:pPr>
        <w:rPr>
          <w:rFonts w:ascii="Calibri" w:hAnsi="Calibri"/>
          <w:b/>
          <w:sz w:val="28"/>
          <w:szCs w:val="28"/>
          <w:lang w:val="en-US"/>
        </w:rPr>
      </w:pPr>
    </w:p>
    <w:p w14:paraId="4D525467" w14:textId="77777777" w:rsidR="00D270B2" w:rsidRDefault="00D270B2" w:rsidP="00172450">
      <w:pPr>
        <w:rPr>
          <w:rFonts w:ascii="Calibri" w:hAnsi="Calibri"/>
          <w:b/>
          <w:sz w:val="28"/>
          <w:szCs w:val="28"/>
          <w:lang w:val="en-US"/>
        </w:rPr>
      </w:pPr>
    </w:p>
    <w:p w14:paraId="51EAC1C3" w14:textId="7C3411C7" w:rsidR="00172450" w:rsidRPr="00172450" w:rsidRDefault="00172450" w:rsidP="00172450">
      <w:r w:rsidRPr="00172450">
        <w:rPr>
          <w:noProof/>
          <w:lang w:val="en-US"/>
        </w:rPr>
        <w:drawing>
          <wp:anchor distT="0" distB="0" distL="114300" distR="114300" simplePos="0" relativeHeight="251658240" behindDoc="0" locked="0" layoutInCell="1" allowOverlap="1" wp14:anchorId="20F5C2CB" wp14:editId="0F3EA1B1">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r>
      <w:proofErr w:type="spellStart"/>
      <w:r>
        <w:rPr>
          <w:rFonts w:ascii="Calibri" w:hAnsi="Calibri"/>
          <w:b/>
          <w:sz w:val="28"/>
          <w:szCs w:val="28"/>
          <w:lang w:val="en-US"/>
        </w:rPr>
        <w:t>Modernisation</w:t>
      </w:r>
      <w:proofErr w:type="spellEnd"/>
      <w:r>
        <w:rPr>
          <w:rFonts w:ascii="Calibri" w:hAnsi="Calibri"/>
          <w:b/>
          <w:sz w:val="28"/>
          <w:szCs w:val="28"/>
          <w:lang w:val="en-US"/>
        </w:rPr>
        <w:t xml:space="preserve"> of Official Statistics</w:t>
      </w:r>
    </w:p>
    <w:p w14:paraId="3618312E" w14:textId="77777777" w:rsidR="00172450" w:rsidRDefault="00172450"/>
    <w:p w14:paraId="5923754C" w14:textId="18402BD2" w:rsidR="00172450" w:rsidRPr="004B4F5E" w:rsidRDefault="00172450" w:rsidP="00D52E37">
      <w:pPr>
        <w:tabs>
          <w:tab w:val="left" w:pos="0"/>
          <w:tab w:val="left" w:pos="5940"/>
          <w:tab w:val="left" w:pos="6939"/>
          <w:tab w:val="right" w:pos="9356"/>
        </w:tabs>
        <w:jc w:val="center"/>
        <w:rPr>
          <w:rFonts w:ascii="Calibri" w:hAnsi="Calibri"/>
          <w:b/>
          <w:sz w:val="28"/>
          <w:szCs w:val="28"/>
          <w:lang w:val="en-US"/>
        </w:rPr>
      </w:pPr>
      <w:r>
        <w:rPr>
          <w:rFonts w:ascii="Calibri" w:hAnsi="Calibri"/>
          <w:b/>
          <w:sz w:val="28"/>
          <w:szCs w:val="28"/>
          <w:lang w:val="en-US"/>
        </w:rPr>
        <w:t xml:space="preserve">Business Case </w:t>
      </w:r>
      <w:r w:rsidR="00D52E37">
        <w:rPr>
          <w:rFonts w:ascii="Calibri" w:hAnsi="Calibri"/>
          <w:b/>
          <w:sz w:val="28"/>
          <w:szCs w:val="28"/>
          <w:lang w:val="en-US"/>
        </w:rPr>
        <w:t xml:space="preserve">to research the </w:t>
      </w:r>
      <w:r w:rsidR="007B6D6C">
        <w:rPr>
          <w:rFonts w:ascii="Calibri" w:hAnsi="Calibri"/>
          <w:b/>
          <w:sz w:val="28"/>
          <w:szCs w:val="28"/>
          <w:lang w:val="en-US"/>
        </w:rPr>
        <w:t>future of work and the workplace in the context of the modernization agenda</w:t>
      </w:r>
    </w:p>
    <w:p w14:paraId="4057B84E" w14:textId="77777777" w:rsidR="00172450" w:rsidRDefault="00172450"/>
    <w:tbl>
      <w:tblPr>
        <w:tblW w:w="9900" w:type="dxa"/>
        <w:tblInd w:w="-77" w:type="dxa"/>
        <w:tblLook w:val="01E0" w:firstRow="1" w:lastRow="1" w:firstColumn="1" w:lastColumn="1" w:noHBand="0" w:noVBand="0"/>
      </w:tblPr>
      <w:tblGrid>
        <w:gridCol w:w="9900"/>
      </w:tblGrid>
      <w:tr w:rsidR="004551B1" w14:paraId="26931122"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00465E0F" w14:textId="16B1985F" w:rsidR="00172450" w:rsidRPr="004E79C1"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88095C">
              <w:rPr>
                <w:rFonts w:cstheme="minorHAnsi"/>
                <w:lang w:val="en-US"/>
              </w:rPr>
              <w:t>the Modernization Group on Developing Organizational Capability</w:t>
            </w:r>
            <w:r>
              <w:rPr>
                <w:rFonts w:cstheme="minorHAnsi"/>
                <w:lang w:val="en-US"/>
              </w:rPr>
              <w:t xml:space="preserve"> and is submitted to the HLG-MOS for their approval.</w:t>
            </w:r>
          </w:p>
        </w:tc>
      </w:tr>
    </w:tbl>
    <w:p w14:paraId="73051B38" w14:textId="77777777" w:rsidR="004551B1" w:rsidRPr="00351862" w:rsidRDefault="004551B1">
      <w:pPr>
        <w:rPr>
          <w:sz w:val="16"/>
          <w:szCs w:val="16"/>
        </w:rPr>
      </w:pPr>
    </w:p>
    <w:p w14:paraId="25F221B7"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1D0DCFB1" w14:textId="77777777" w:rsidTr="005326AD">
        <w:tc>
          <w:tcPr>
            <w:tcW w:w="9975" w:type="dxa"/>
            <w:gridSpan w:val="5"/>
            <w:shd w:val="clear" w:color="auto" w:fill="8DB3E2" w:themeFill="text2" w:themeFillTint="66"/>
          </w:tcPr>
          <w:p w14:paraId="55043262"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19389859"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35E576F8"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3F11CE60" w14:textId="77777777"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1"/>
              <w14:checkedState w14:val="2612" w14:font="MS Gothic"/>
              <w14:uncheckedState w14:val="2610" w14:font="MS Gothic"/>
            </w14:checkbox>
          </w:sdtPr>
          <w:sdtEndPr/>
          <w:sdtContent>
            <w:tc>
              <w:tcPr>
                <w:tcW w:w="586" w:type="dxa"/>
              </w:tcPr>
              <w:p w14:paraId="29272140" w14:textId="50444EA3" w:rsidR="002C1717" w:rsidRDefault="00365EE0" w:rsidP="00EC3E2B">
                <w:pPr>
                  <w:rPr>
                    <w:szCs w:val="24"/>
                  </w:rPr>
                </w:pPr>
                <w:r>
                  <w:rPr>
                    <w:rFonts w:ascii="MS Gothic" w:eastAsia="MS Gothic" w:hAnsi="MS Gothic" w:hint="eastAsia"/>
                    <w:szCs w:val="24"/>
                  </w:rPr>
                  <w:t>☒</w:t>
                </w:r>
              </w:p>
            </w:tc>
          </w:sdtContent>
        </w:sdt>
        <w:tc>
          <w:tcPr>
            <w:tcW w:w="4477" w:type="dxa"/>
          </w:tcPr>
          <w:p w14:paraId="5D336F10" w14:textId="77777777"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14:paraId="554C3A80"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2B395883"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52056CAF" w14:textId="77777777" w:rsidR="002C1717" w:rsidRPr="002C1717" w:rsidRDefault="002C1717" w:rsidP="00EC3E2B">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35276046"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42A52A15" w14:textId="77777777" w:rsidR="002C1717" w:rsidRDefault="002C1717" w:rsidP="00EC3E2B">
            <w:pPr>
              <w:rPr>
                <w:szCs w:val="24"/>
              </w:rPr>
            </w:pPr>
            <w:r>
              <w:rPr>
                <w:rFonts w:asciiTheme="minorHAnsi" w:hAnsiTheme="minorHAnsi"/>
                <w:szCs w:val="24"/>
              </w:rPr>
              <w:t>Extension of existing activity</w:t>
            </w:r>
          </w:p>
        </w:tc>
      </w:tr>
      <w:tr w:rsidR="002C1717" w14:paraId="347ECC5A" w14:textId="77777777" w:rsidTr="006C5F85">
        <w:tc>
          <w:tcPr>
            <w:tcW w:w="4912" w:type="dxa"/>
            <w:gridSpan w:val="3"/>
          </w:tcPr>
          <w:p w14:paraId="686D164A" w14:textId="77777777" w:rsidR="002C1717" w:rsidRDefault="002C1717" w:rsidP="002C1717">
            <w:pPr>
              <w:rPr>
                <w:i/>
                <w:iCs/>
                <w:color w:val="A6A6A6" w:themeColor="background1" w:themeShade="A6"/>
                <w:sz w:val="22"/>
              </w:rPr>
            </w:pPr>
            <w:r w:rsidRPr="002C1717">
              <w:rPr>
                <w:i/>
                <w:iCs/>
                <w:color w:val="A6A6A6" w:themeColor="background1" w:themeShade="A6"/>
                <w:sz w:val="22"/>
              </w:rPr>
              <w:t>Projects are undertaken by separate project teams. Projects are expected to produce a significant contribution to achieving the HLG-MOS vision</w:t>
            </w:r>
          </w:p>
          <w:p w14:paraId="3BFD1443" w14:textId="77777777" w:rsidR="00065E11" w:rsidRPr="00350F7F" w:rsidRDefault="00065E11" w:rsidP="002C1717">
            <w:pPr>
              <w:rPr>
                <w:rFonts w:asciiTheme="minorHAnsi" w:hAnsiTheme="minorHAnsi"/>
                <w:szCs w:val="24"/>
              </w:rPr>
            </w:pPr>
          </w:p>
        </w:tc>
        <w:tc>
          <w:tcPr>
            <w:tcW w:w="5063" w:type="dxa"/>
            <w:gridSpan w:val="2"/>
          </w:tcPr>
          <w:p w14:paraId="76FF2015" w14:textId="77777777" w:rsidR="002C1717" w:rsidRPr="002C1717" w:rsidRDefault="002C1717" w:rsidP="00065E11">
            <w:pPr>
              <w:spacing w:after="240"/>
              <w:rPr>
                <w:i/>
                <w:iCs/>
                <w:color w:val="A6A6A6" w:themeColor="background1" w:themeShade="A6"/>
                <w:sz w:val="22"/>
              </w:rPr>
            </w:pPr>
            <w:r w:rsidRPr="002C1717">
              <w:rPr>
                <w:i/>
                <w:iCs/>
                <w:color w:val="A6A6A6" w:themeColor="background1" w:themeShade="A6"/>
                <w:sz w:val="22"/>
              </w:rPr>
              <w:t>Activities are undertaken by Modernisation Groups. These activities produce smaller, more detailed outputs to help achieve the HLG-MOS vision</w:t>
            </w:r>
          </w:p>
        </w:tc>
      </w:tr>
      <w:tr w:rsidR="00065E11" w14:paraId="624ADE57" w14:textId="77777777" w:rsidTr="00747362">
        <w:tc>
          <w:tcPr>
            <w:tcW w:w="9975" w:type="dxa"/>
            <w:gridSpan w:val="5"/>
          </w:tcPr>
          <w:p w14:paraId="7F7262F2" w14:textId="77777777" w:rsidR="00065E11" w:rsidRPr="002C1717" w:rsidRDefault="00065E11" w:rsidP="00065E11">
            <w:pPr>
              <w:spacing w:after="240"/>
              <w:rPr>
                <w:i/>
                <w:iCs/>
                <w:color w:val="A6A6A6" w:themeColor="background1" w:themeShade="A6"/>
              </w:rPr>
            </w:pPr>
            <w:r>
              <w:rPr>
                <w:i/>
                <w:iCs/>
                <w:color w:val="A6A6A6" w:themeColor="background1" w:themeShade="A6"/>
                <w:sz w:val="22"/>
              </w:rPr>
              <w:t xml:space="preserve">See here for more details: </w:t>
            </w:r>
            <w:r w:rsidRPr="00065E11">
              <w:rPr>
                <w:i/>
                <w:iCs/>
                <w:color w:val="A6A6A6" w:themeColor="background1" w:themeShade="A6"/>
                <w:sz w:val="22"/>
              </w:rPr>
              <w:t>https://statswiki.unece.org/display/hlgbas/HLG-MOS+Strategy</w:t>
            </w:r>
          </w:p>
        </w:tc>
      </w:tr>
      <w:tr w:rsidR="002C1717" w:rsidRPr="00350F7F" w14:paraId="61D415D7" w14:textId="77777777" w:rsidTr="005326AD">
        <w:tc>
          <w:tcPr>
            <w:tcW w:w="9975" w:type="dxa"/>
            <w:gridSpan w:val="5"/>
            <w:shd w:val="clear" w:color="auto" w:fill="8DB3E2" w:themeFill="text2" w:themeFillTint="66"/>
          </w:tcPr>
          <w:p w14:paraId="6D409654"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3C129D72" w14:textId="77777777" w:rsidTr="005326AD">
        <w:tc>
          <w:tcPr>
            <w:tcW w:w="9975" w:type="dxa"/>
            <w:gridSpan w:val="5"/>
            <w:tcBorders>
              <w:bottom w:val="single" w:sz="4" w:space="0" w:color="auto"/>
            </w:tcBorders>
            <w:shd w:val="clear" w:color="auto" w:fill="FFFFFF" w:themeFill="background1"/>
          </w:tcPr>
          <w:p w14:paraId="076EC09E" w14:textId="77777777" w:rsidR="003E6537" w:rsidRDefault="004B4F5E" w:rsidP="004B4F5E">
            <w:pPr>
              <w:autoSpaceDE w:val="0"/>
              <w:autoSpaceDN w:val="0"/>
              <w:adjustRightInd w:val="0"/>
              <w:rPr>
                <w:rFonts w:ascii="Helv" w:hAnsi="Helv" w:cs="Helv"/>
                <w:color w:val="000000"/>
                <w:sz w:val="20"/>
                <w:szCs w:val="20"/>
                <w:lang w:val="en-IE"/>
              </w:rPr>
            </w:pPr>
            <w:r>
              <w:rPr>
                <w:rFonts w:ascii="Helv" w:hAnsi="Helv" w:cs="Helv"/>
                <w:color w:val="000000"/>
                <w:sz w:val="20"/>
                <w:szCs w:val="20"/>
                <w:lang w:val="en-IE"/>
              </w:rPr>
              <w:t xml:space="preserve">The world of work is changing at an unprecedented rate and this is providing both challenges and opportunities for Statistical Organisations. Developing organisational capability is a key enabling factor in supporting the modernisation </w:t>
            </w:r>
            <w:r w:rsidR="00D52E37">
              <w:rPr>
                <w:rFonts w:ascii="Helv" w:hAnsi="Helv" w:cs="Helv"/>
                <w:color w:val="000000"/>
                <w:sz w:val="20"/>
                <w:szCs w:val="20"/>
                <w:lang w:val="en-IE"/>
              </w:rPr>
              <w:t>agenda</w:t>
            </w:r>
            <w:r>
              <w:rPr>
                <w:rFonts w:ascii="Helv" w:hAnsi="Helv" w:cs="Helv"/>
                <w:color w:val="000000"/>
                <w:sz w:val="20"/>
                <w:szCs w:val="20"/>
                <w:lang w:val="en-IE"/>
              </w:rPr>
              <w:t xml:space="preserve"> and this proposal will examine how organisational capability can be developed across the pillars of work, workforce and workplace. </w:t>
            </w:r>
          </w:p>
          <w:p w14:paraId="36FB2751" w14:textId="77777777" w:rsidR="003E6537" w:rsidRDefault="003E6537" w:rsidP="004B4F5E">
            <w:pPr>
              <w:autoSpaceDE w:val="0"/>
              <w:autoSpaceDN w:val="0"/>
              <w:adjustRightInd w:val="0"/>
              <w:rPr>
                <w:rFonts w:ascii="Helv" w:hAnsi="Helv" w:cs="Helv"/>
                <w:color w:val="000000"/>
                <w:sz w:val="20"/>
                <w:szCs w:val="20"/>
                <w:lang w:val="en-IE"/>
              </w:rPr>
            </w:pPr>
          </w:p>
          <w:p w14:paraId="2056C6BA" w14:textId="23FF3619" w:rsidR="002C1717" w:rsidRPr="004E4F90" w:rsidRDefault="004B4F5E" w:rsidP="003E6537">
            <w:pPr>
              <w:autoSpaceDE w:val="0"/>
              <w:autoSpaceDN w:val="0"/>
              <w:adjustRightInd w:val="0"/>
              <w:rPr>
                <w:i/>
                <w:iCs/>
                <w:color w:val="A6A6A6" w:themeColor="background1" w:themeShade="A6"/>
                <w:sz w:val="22"/>
              </w:rPr>
            </w:pPr>
            <w:r>
              <w:rPr>
                <w:rFonts w:ascii="Helv" w:hAnsi="Helv" w:cs="Helv"/>
                <w:color w:val="000000"/>
                <w:sz w:val="20"/>
                <w:szCs w:val="20"/>
                <w:lang w:val="en-IE"/>
              </w:rPr>
              <w:t>This holistic view of the future world of work will support the successful implementation of outputs from other modernisation groups as well as position NSI's as key collaborators in the statistical ecosystem.</w:t>
            </w:r>
            <w:r w:rsidR="00A124F9">
              <w:rPr>
                <w:rFonts w:ascii="Helv" w:hAnsi="Helv" w:cs="Helv"/>
                <w:color w:val="000000"/>
                <w:sz w:val="20"/>
                <w:szCs w:val="20"/>
                <w:lang w:val="en-IE"/>
              </w:rPr>
              <w:t xml:space="preserve"> I</w:t>
            </w:r>
            <w:r w:rsidR="00164A57">
              <w:rPr>
                <w:rFonts w:ascii="Helv" w:hAnsi="Helv" w:cs="Helv"/>
                <w:color w:val="000000"/>
                <w:sz w:val="20"/>
                <w:szCs w:val="20"/>
                <w:lang w:val="en-IE"/>
              </w:rPr>
              <w:t>t</w:t>
            </w:r>
            <w:r w:rsidR="00A124F9">
              <w:rPr>
                <w:rFonts w:ascii="Helv" w:hAnsi="Helv" w:cs="Helv"/>
                <w:color w:val="000000"/>
                <w:sz w:val="20"/>
                <w:szCs w:val="20"/>
                <w:lang w:val="en-IE"/>
              </w:rPr>
              <w:t xml:space="preserve"> will also facilitate NSI’s position its work, workforce and workplace to meet the challenges in the ever changing, evolving field in which we work.</w:t>
            </w:r>
          </w:p>
        </w:tc>
      </w:tr>
      <w:tr w:rsidR="002C1717" w:rsidRPr="00350F7F" w14:paraId="6FD47FDB" w14:textId="77777777" w:rsidTr="005326AD">
        <w:tc>
          <w:tcPr>
            <w:tcW w:w="9975" w:type="dxa"/>
            <w:gridSpan w:val="5"/>
            <w:shd w:val="clear" w:color="auto" w:fill="8DB3E2" w:themeFill="text2" w:themeFillTint="66"/>
          </w:tcPr>
          <w:p w14:paraId="312EEA05" w14:textId="77777777" w:rsidR="002C1717" w:rsidRPr="004E79C1" w:rsidRDefault="002C1717" w:rsidP="002C1717">
            <w:pPr>
              <w:rPr>
                <w:b/>
                <w:szCs w:val="24"/>
              </w:rPr>
            </w:pPr>
            <w:r>
              <w:rPr>
                <w:b/>
                <w:szCs w:val="24"/>
              </w:rPr>
              <w:t>Description of the activity</w:t>
            </w:r>
          </w:p>
        </w:tc>
      </w:tr>
      <w:tr w:rsidR="002C1717" w:rsidRPr="00350F7F" w14:paraId="02D22A88" w14:textId="77777777" w:rsidTr="005326AD">
        <w:tc>
          <w:tcPr>
            <w:tcW w:w="9975" w:type="dxa"/>
            <w:gridSpan w:val="5"/>
            <w:shd w:val="clear" w:color="auto" w:fill="auto"/>
          </w:tcPr>
          <w:p w14:paraId="1C046319" w14:textId="2C333296" w:rsidR="002C1717" w:rsidRPr="00365EE0" w:rsidRDefault="007B6D6C" w:rsidP="004B4F5E">
            <w:pPr>
              <w:spacing w:after="120"/>
              <w:rPr>
                <w:iCs/>
                <w:sz w:val="22"/>
              </w:rPr>
            </w:pPr>
            <w:r w:rsidRPr="00365EE0">
              <w:rPr>
                <w:iCs/>
                <w:sz w:val="22"/>
              </w:rPr>
              <w:t>Establish an inventory of modernisation topics currently being examined by other working groups within the HLG community</w:t>
            </w:r>
          </w:p>
          <w:p w14:paraId="43285F03" w14:textId="0D98E5E0" w:rsidR="007B6D6C" w:rsidRPr="00365EE0" w:rsidRDefault="007B6D6C" w:rsidP="004B4F5E">
            <w:pPr>
              <w:spacing w:after="120"/>
              <w:rPr>
                <w:iCs/>
                <w:sz w:val="22"/>
              </w:rPr>
            </w:pPr>
            <w:r w:rsidRPr="00365EE0">
              <w:rPr>
                <w:iCs/>
                <w:sz w:val="22"/>
              </w:rPr>
              <w:t>Develop better engagement</w:t>
            </w:r>
            <w:r w:rsidR="001C22B5" w:rsidRPr="00365EE0">
              <w:rPr>
                <w:iCs/>
                <w:sz w:val="22"/>
              </w:rPr>
              <w:t xml:space="preserve"> and communication</w:t>
            </w:r>
            <w:r w:rsidRPr="00365EE0">
              <w:rPr>
                <w:iCs/>
                <w:sz w:val="22"/>
              </w:rPr>
              <w:t xml:space="preserve"> structures with these groups</w:t>
            </w:r>
            <w:r w:rsidR="001C22B5" w:rsidRPr="00365EE0">
              <w:rPr>
                <w:iCs/>
                <w:sz w:val="22"/>
              </w:rPr>
              <w:t xml:space="preserve"> and collaborate to</w:t>
            </w:r>
            <w:r w:rsidRPr="00365EE0">
              <w:rPr>
                <w:iCs/>
                <w:sz w:val="22"/>
              </w:rPr>
              <w:t xml:space="preserve"> establish organisational capability challenges associated with outputs</w:t>
            </w:r>
            <w:r w:rsidR="001C22B5" w:rsidRPr="00365EE0">
              <w:rPr>
                <w:iCs/>
                <w:sz w:val="22"/>
              </w:rPr>
              <w:t>.</w:t>
            </w:r>
          </w:p>
          <w:p w14:paraId="22589936" w14:textId="4EAF3F47" w:rsidR="00164A57" w:rsidRPr="00365EE0" w:rsidRDefault="00164A57" w:rsidP="004B4F5E">
            <w:pPr>
              <w:spacing w:after="120"/>
              <w:rPr>
                <w:iCs/>
                <w:sz w:val="22"/>
              </w:rPr>
            </w:pPr>
            <w:r w:rsidRPr="00365EE0">
              <w:rPr>
                <w:iCs/>
                <w:sz w:val="22"/>
              </w:rPr>
              <w:t>Identify topics and areas under the heading of work, workforce and workplace to allow us position NSI’s in the context of the modernization agenda and the future world of work.</w:t>
            </w:r>
          </w:p>
          <w:p w14:paraId="34FA566C" w14:textId="260B568F" w:rsidR="007B6D6C" w:rsidRPr="004E4F90" w:rsidRDefault="007B6D6C" w:rsidP="004B4F5E">
            <w:pPr>
              <w:spacing w:after="120"/>
              <w:rPr>
                <w:i/>
                <w:iCs/>
                <w:color w:val="A6A6A6" w:themeColor="background1" w:themeShade="A6"/>
                <w:sz w:val="22"/>
              </w:rPr>
            </w:pPr>
          </w:p>
        </w:tc>
      </w:tr>
      <w:tr w:rsidR="002C1717" w:rsidRPr="00CE0BD2" w14:paraId="12C8C974" w14:textId="77777777" w:rsidTr="005326AD">
        <w:tc>
          <w:tcPr>
            <w:tcW w:w="9975" w:type="dxa"/>
            <w:gridSpan w:val="5"/>
            <w:shd w:val="clear" w:color="auto" w:fill="8DB3E2" w:themeFill="text2" w:themeFillTint="66"/>
          </w:tcPr>
          <w:p w14:paraId="53B646D9" w14:textId="77777777" w:rsidR="002C1717" w:rsidRPr="001457E5" w:rsidRDefault="002C1717" w:rsidP="002C1717">
            <w:pPr>
              <w:rPr>
                <w:b/>
                <w:szCs w:val="24"/>
              </w:rPr>
            </w:pPr>
            <w:r>
              <w:rPr>
                <w:b/>
                <w:szCs w:val="24"/>
              </w:rPr>
              <w:t>Alternatives considered</w:t>
            </w:r>
          </w:p>
        </w:tc>
      </w:tr>
      <w:tr w:rsidR="002C1717" w14:paraId="628AEAEB" w14:textId="77777777" w:rsidTr="005326AD">
        <w:tc>
          <w:tcPr>
            <w:tcW w:w="9975" w:type="dxa"/>
            <w:gridSpan w:val="5"/>
            <w:shd w:val="clear" w:color="auto" w:fill="auto"/>
          </w:tcPr>
          <w:p w14:paraId="3BE530B9" w14:textId="7B1F5E6D" w:rsidR="002C1717" w:rsidRPr="00365EE0" w:rsidRDefault="00365EE0" w:rsidP="002C1717">
            <w:pPr>
              <w:spacing w:after="240"/>
              <w:rPr>
                <w:iCs/>
                <w:color w:val="A6A6A6" w:themeColor="background1" w:themeShade="A6"/>
                <w:sz w:val="22"/>
              </w:rPr>
            </w:pPr>
            <w:r w:rsidRPr="00365EE0">
              <w:rPr>
                <w:iCs/>
                <w:sz w:val="22"/>
              </w:rPr>
              <w:t>none</w:t>
            </w:r>
          </w:p>
        </w:tc>
      </w:tr>
      <w:tr w:rsidR="002C1717" w:rsidRPr="00007BD9" w14:paraId="239C9C81" w14:textId="77777777" w:rsidTr="005326AD">
        <w:tc>
          <w:tcPr>
            <w:tcW w:w="9975" w:type="dxa"/>
            <w:gridSpan w:val="5"/>
            <w:shd w:val="clear" w:color="auto" w:fill="8DB3E2" w:themeFill="text2" w:themeFillTint="66"/>
          </w:tcPr>
          <w:p w14:paraId="06631EAE" w14:textId="77777777"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3BD26F3E" w14:textId="77777777" w:rsidTr="005326AD">
        <w:trPr>
          <w:trHeight w:val="391"/>
        </w:trPr>
        <w:tc>
          <w:tcPr>
            <w:tcW w:w="9975" w:type="dxa"/>
            <w:gridSpan w:val="5"/>
          </w:tcPr>
          <w:p w14:paraId="333CBAAE" w14:textId="4177AD41" w:rsidR="00065E11" w:rsidRPr="00365EE0" w:rsidRDefault="00164A57" w:rsidP="00164A57">
            <w:pPr>
              <w:rPr>
                <w:iCs/>
                <w:sz w:val="22"/>
              </w:rPr>
            </w:pPr>
            <w:r w:rsidRPr="00365EE0">
              <w:rPr>
                <w:iCs/>
                <w:sz w:val="22"/>
              </w:rPr>
              <w:t>This project will align and allow for collaboration across the full suite of curr</w:t>
            </w:r>
            <w:r w:rsidR="002C1717" w:rsidRPr="00365EE0">
              <w:rPr>
                <w:iCs/>
                <w:sz w:val="22"/>
              </w:rPr>
              <w:t>ent or previous activities.</w:t>
            </w:r>
            <w:r w:rsidRPr="00365EE0">
              <w:rPr>
                <w:iCs/>
                <w:sz w:val="22"/>
              </w:rPr>
              <w:t xml:space="preserve"> </w:t>
            </w:r>
          </w:p>
        </w:tc>
      </w:tr>
      <w:tr w:rsidR="002C1717" w:rsidRPr="002058F2" w14:paraId="5D90A026" w14:textId="77777777" w:rsidTr="005326AD">
        <w:tc>
          <w:tcPr>
            <w:tcW w:w="9975" w:type="dxa"/>
            <w:gridSpan w:val="5"/>
            <w:shd w:val="clear" w:color="auto" w:fill="8DB3E2" w:themeFill="text2" w:themeFillTint="66"/>
          </w:tcPr>
          <w:p w14:paraId="130262AF"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5015FAC8" w14:textId="77777777" w:rsidTr="002C1717">
        <w:tc>
          <w:tcPr>
            <w:tcW w:w="4686" w:type="dxa"/>
            <w:gridSpan w:val="2"/>
            <w:tcBorders>
              <w:right w:val="single" w:sz="4" w:space="0" w:color="auto"/>
            </w:tcBorders>
          </w:tcPr>
          <w:p w14:paraId="105CC413" w14:textId="1CD53CBD" w:rsidR="002C1717" w:rsidRPr="00CE0BD2" w:rsidRDefault="002C1717" w:rsidP="002C1717">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365EE0">
              <w:rPr>
                <w:iCs/>
                <w:sz w:val="22"/>
              </w:rPr>
              <w:t>January 20</w:t>
            </w:r>
            <w:r w:rsidR="00164A57" w:rsidRPr="00365EE0">
              <w:rPr>
                <w:iCs/>
                <w:sz w:val="22"/>
              </w:rPr>
              <w:t>20</w:t>
            </w:r>
          </w:p>
        </w:tc>
        <w:tc>
          <w:tcPr>
            <w:tcW w:w="5289" w:type="dxa"/>
            <w:gridSpan w:val="3"/>
            <w:tcBorders>
              <w:left w:val="single" w:sz="4" w:space="0" w:color="auto"/>
            </w:tcBorders>
          </w:tcPr>
          <w:p w14:paraId="51DAC074" w14:textId="759961E8" w:rsidR="002C1717" w:rsidRDefault="002C1717" w:rsidP="002C1717">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365EE0">
              <w:rPr>
                <w:iCs/>
                <w:sz w:val="22"/>
              </w:rPr>
              <w:t>December 20</w:t>
            </w:r>
            <w:r w:rsidR="00164A57" w:rsidRPr="00365EE0">
              <w:rPr>
                <w:iCs/>
                <w:sz w:val="22"/>
              </w:rPr>
              <w:t>20</w:t>
            </w:r>
          </w:p>
        </w:tc>
      </w:tr>
      <w:tr w:rsidR="002C1717" w14:paraId="74FE15B2" w14:textId="77777777" w:rsidTr="002243D0">
        <w:tc>
          <w:tcPr>
            <w:tcW w:w="9975" w:type="dxa"/>
            <w:gridSpan w:val="5"/>
          </w:tcPr>
          <w:p w14:paraId="76429FEC" w14:textId="77777777" w:rsidR="002C1717" w:rsidRPr="004E4F90" w:rsidRDefault="002C1717" w:rsidP="002C1717">
            <w:pPr>
              <w:spacing w:after="120"/>
              <w:rPr>
                <w:szCs w:val="24"/>
              </w:rPr>
            </w:pPr>
            <w:r w:rsidRPr="004E4F90">
              <w:rPr>
                <w:i/>
                <w:iCs/>
                <w:color w:val="A6A6A6" w:themeColor="background1" w:themeShade="A6"/>
                <w:sz w:val="22"/>
              </w:rPr>
              <w:t>Provide start and end dates for the activity. Tip: The HLG-MOS prefer activities</w:t>
            </w:r>
            <w:r>
              <w:rPr>
                <w:i/>
                <w:iCs/>
                <w:color w:val="A6A6A6" w:themeColor="background1" w:themeShade="A6"/>
                <w:sz w:val="22"/>
              </w:rPr>
              <w:t xml:space="preserve"> that are for maximum 12 months</w:t>
            </w:r>
            <w:r w:rsidRPr="004E4F90">
              <w:rPr>
                <w:i/>
                <w:iCs/>
                <w:color w:val="A6A6A6" w:themeColor="background1" w:themeShade="A6"/>
                <w:sz w:val="22"/>
              </w:rPr>
              <w:t>. If you think the activity will take longer, consider breaking it into 2 or more phases.</w:t>
            </w:r>
          </w:p>
        </w:tc>
      </w:tr>
    </w:tbl>
    <w:p w14:paraId="52933C55" w14:textId="77777777" w:rsidR="00A31019" w:rsidRDefault="00A31019" w:rsidP="00EA50EF">
      <w:pPr>
        <w:rPr>
          <w:b/>
          <w:sz w:val="28"/>
          <w:szCs w:val="28"/>
        </w:rPr>
      </w:pPr>
      <w:bookmarkStart w:id="0" w:name="_GoBack"/>
      <w:bookmarkEnd w:id="0"/>
    </w:p>
    <w:sectPr w:rsidR="00A31019"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42C17" w14:textId="77777777" w:rsidR="00935F1A" w:rsidRDefault="00935F1A" w:rsidP="004E4F90">
      <w:r>
        <w:separator/>
      </w:r>
    </w:p>
  </w:endnote>
  <w:endnote w:type="continuationSeparator" w:id="0">
    <w:p w14:paraId="69722D6B" w14:textId="77777777" w:rsidR="00935F1A" w:rsidRDefault="00935F1A"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
    <w:altName w:val="Arial"/>
    <w:panose1 w:val="020B0604020202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37251" w14:textId="77777777" w:rsidR="00935F1A" w:rsidRDefault="00935F1A" w:rsidP="004E4F90">
      <w:r>
        <w:separator/>
      </w:r>
    </w:p>
  </w:footnote>
  <w:footnote w:type="continuationSeparator" w:id="0">
    <w:p w14:paraId="3113E59E" w14:textId="77777777" w:rsidR="00935F1A" w:rsidRDefault="00935F1A"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8"/>
  </w:num>
  <w:num w:numId="2">
    <w:abstractNumId w:val="5"/>
  </w:num>
  <w:num w:numId="3">
    <w:abstractNumId w:val="6"/>
  </w:num>
  <w:num w:numId="4">
    <w:abstractNumId w:val="0"/>
  </w:num>
  <w:num w:numId="5">
    <w:abstractNumId w:val="7"/>
  </w:num>
  <w:num w:numId="6">
    <w:abstractNumId w:val="3"/>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507F4"/>
    <w:rsid w:val="00065E11"/>
    <w:rsid w:val="000736C7"/>
    <w:rsid w:val="0009099D"/>
    <w:rsid w:val="000957FE"/>
    <w:rsid w:val="000E2CBC"/>
    <w:rsid w:val="001457E5"/>
    <w:rsid w:val="00164A57"/>
    <w:rsid w:val="00172450"/>
    <w:rsid w:val="001B57E8"/>
    <w:rsid w:val="001C22B5"/>
    <w:rsid w:val="001D131C"/>
    <w:rsid w:val="001D2187"/>
    <w:rsid w:val="001F0D52"/>
    <w:rsid w:val="0020339E"/>
    <w:rsid w:val="00212999"/>
    <w:rsid w:val="002214E1"/>
    <w:rsid w:val="00252502"/>
    <w:rsid w:val="00284B48"/>
    <w:rsid w:val="002C1717"/>
    <w:rsid w:val="00351862"/>
    <w:rsid w:val="00365EE0"/>
    <w:rsid w:val="00397639"/>
    <w:rsid w:val="003E6537"/>
    <w:rsid w:val="0042690E"/>
    <w:rsid w:val="004551B1"/>
    <w:rsid w:val="0049550D"/>
    <w:rsid w:val="004B4F5E"/>
    <w:rsid w:val="004E4F90"/>
    <w:rsid w:val="004E79C1"/>
    <w:rsid w:val="005326AD"/>
    <w:rsid w:val="0057785A"/>
    <w:rsid w:val="00595F3E"/>
    <w:rsid w:val="005A2F4B"/>
    <w:rsid w:val="006530E5"/>
    <w:rsid w:val="00707587"/>
    <w:rsid w:val="007B3A7C"/>
    <w:rsid w:val="007B6D6C"/>
    <w:rsid w:val="007F20D3"/>
    <w:rsid w:val="00843355"/>
    <w:rsid w:val="0088095C"/>
    <w:rsid w:val="0089169C"/>
    <w:rsid w:val="00893A42"/>
    <w:rsid w:val="008E679B"/>
    <w:rsid w:val="00935F1A"/>
    <w:rsid w:val="0094085C"/>
    <w:rsid w:val="0097630F"/>
    <w:rsid w:val="009D3DBA"/>
    <w:rsid w:val="00A124F9"/>
    <w:rsid w:val="00A31019"/>
    <w:rsid w:val="00A77F79"/>
    <w:rsid w:val="00B37656"/>
    <w:rsid w:val="00BB2C7C"/>
    <w:rsid w:val="00BD4DDB"/>
    <w:rsid w:val="00C205DA"/>
    <w:rsid w:val="00C97C67"/>
    <w:rsid w:val="00CE0BD2"/>
    <w:rsid w:val="00CE2F8B"/>
    <w:rsid w:val="00CF178E"/>
    <w:rsid w:val="00D270B2"/>
    <w:rsid w:val="00D455E4"/>
    <w:rsid w:val="00D52E37"/>
    <w:rsid w:val="00DA0AFB"/>
    <w:rsid w:val="00E11C95"/>
    <w:rsid w:val="00EA50EF"/>
    <w:rsid w:val="00EB57B6"/>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3A51458"/>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383</Words>
  <Characters>2185</Characters>
  <Application>Microsoft Office Word</Application>
  <DocSecurity>0</DocSecurity>
  <Lines>18</Lines>
  <Paragraphs>5</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Tetyana Kolomiyets</cp:lastModifiedBy>
  <cp:revision>4</cp:revision>
  <dcterms:created xsi:type="dcterms:W3CDTF">2019-11-14T11:33:00Z</dcterms:created>
  <dcterms:modified xsi:type="dcterms:W3CDTF">2019-11-15T14:27:00Z</dcterms:modified>
  <cp:category>activity</cp:category>
</cp:coreProperties>
</file>