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FBA989" w14:textId="77777777" w:rsidR="007971E5" w:rsidRDefault="002474E4">
      <w:r>
        <w:rPr>
          <w:noProof/>
          <w:lang w:val="it-IT" w:eastAsia="it-IT"/>
        </w:rPr>
        <w:drawing>
          <wp:anchor distT="0" distB="0" distL="114300" distR="114300" simplePos="0" relativeHeight="2" behindDoc="0" locked="0" layoutInCell="1" allowOverlap="1" wp14:anchorId="4BDCBAEC" wp14:editId="6DFBD58F">
            <wp:simplePos x="0" y="0"/>
            <wp:positionH relativeFrom="margin">
              <wp:posOffset>4030980</wp:posOffset>
            </wp:positionH>
            <wp:positionV relativeFrom="paragraph">
              <wp:posOffset>7620</wp:posOffset>
            </wp:positionV>
            <wp:extent cx="2174240" cy="4216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4240" cy="421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  <w:lang w:val="en-US"/>
        </w:rPr>
        <w:t>UNECE High-level Group for the</w:t>
      </w:r>
      <w:r>
        <w:rPr>
          <w:b/>
          <w:sz w:val="28"/>
          <w:szCs w:val="28"/>
          <w:lang w:val="en-US"/>
        </w:rPr>
        <w:br/>
      </w:r>
      <w:proofErr w:type="spellStart"/>
      <w:r>
        <w:rPr>
          <w:b/>
          <w:sz w:val="28"/>
          <w:szCs w:val="28"/>
          <w:lang w:val="en-US"/>
        </w:rPr>
        <w:t>Modernisation</w:t>
      </w:r>
      <w:proofErr w:type="spellEnd"/>
      <w:r>
        <w:rPr>
          <w:b/>
          <w:sz w:val="28"/>
          <w:szCs w:val="28"/>
          <w:lang w:val="en-US"/>
        </w:rPr>
        <w:t xml:space="preserve"> of Official Statistics</w:t>
      </w:r>
    </w:p>
    <w:p w14:paraId="43A3A69D" w14:textId="77777777" w:rsidR="007971E5" w:rsidRDefault="007971E5"/>
    <w:p w14:paraId="783BB790" w14:textId="77777777" w:rsidR="007971E5" w:rsidRDefault="002474E4">
      <w:pPr>
        <w:tabs>
          <w:tab w:val="left" w:pos="0"/>
          <w:tab w:val="left" w:pos="5940"/>
          <w:tab w:val="left" w:pos="6939"/>
          <w:tab w:val="right" w:pos="9356"/>
        </w:tabs>
        <w:jc w:val="center"/>
      </w:pPr>
      <w:r>
        <w:rPr>
          <w:b/>
          <w:sz w:val="28"/>
          <w:szCs w:val="28"/>
          <w:lang w:val="en-US"/>
        </w:rPr>
        <w:t xml:space="preserve">Business Case for </w:t>
      </w:r>
      <w:r>
        <w:rPr>
          <w:b/>
          <w:color w:val="FF0000"/>
          <w:sz w:val="28"/>
          <w:szCs w:val="28"/>
          <w:lang w:val="en-US" w:eastAsia="zh-CN"/>
        </w:rPr>
        <w:t>National Data Strategy</w:t>
      </w:r>
    </w:p>
    <w:p w14:paraId="25FE0A0C" w14:textId="77777777" w:rsidR="007971E5" w:rsidRDefault="007971E5"/>
    <w:tbl>
      <w:tblPr>
        <w:tblW w:w="9900" w:type="dxa"/>
        <w:tblInd w:w="-7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9900"/>
      </w:tblGrid>
      <w:tr w:rsidR="007971E5" w14:paraId="7130BD3C" w14:textId="77777777">
        <w:tc>
          <w:tcPr>
            <w:tcW w:w="9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D43638" w14:textId="77777777" w:rsidR="007971E5" w:rsidRDefault="002474E4" w:rsidP="008B773B">
            <w:pPr>
              <w:tabs>
                <w:tab w:val="left" w:pos="0"/>
                <w:tab w:val="left" w:pos="850"/>
                <w:tab w:val="left" w:pos="1191"/>
                <w:tab w:val="left" w:pos="1531"/>
                <w:tab w:val="left" w:pos="5940"/>
                <w:tab w:val="left" w:pos="6939"/>
                <w:tab w:val="right" w:pos="9356"/>
              </w:tabs>
              <w:jc w:val="both"/>
            </w:pPr>
            <w:r>
              <w:rPr>
                <w:rFonts w:cstheme="minorHAnsi"/>
                <w:lang w:val="en-US"/>
              </w:rPr>
              <w:t xml:space="preserve">This business case was prepared by C. Vaccari, M. </w:t>
            </w:r>
            <w:proofErr w:type="spellStart"/>
            <w:r>
              <w:rPr>
                <w:rFonts w:cstheme="minorHAnsi"/>
                <w:lang w:val="en-US"/>
              </w:rPr>
              <w:t>Scannapieco</w:t>
            </w:r>
            <w:proofErr w:type="spellEnd"/>
            <w:r>
              <w:rPr>
                <w:rFonts w:cstheme="minorHAnsi"/>
                <w:lang w:val="en-US"/>
              </w:rPr>
              <w:t xml:space="preserve"> and is submitted to the HLG-MOS for their approval.</w:t>
            </w:r>
          </w:p>
        </w:tc>
      </w:tr>
    </w:tbl>
    <w:p w14:paraId="75D89E28" w14:textId="77777777" w:rsidR="007971E5" w:rsidRDefault="007971E5">
      <w:pPr>
        <w:rPr>
          <w:sz w:val="16"/>
          <w:szCs w:val="16"/>
        </w:rPr>
      </w:pPr>
    </w:p>
    <w:p w14:paraId="12384C03" w14:textId="77777777" w:rsidR="007971E5" w:rsidRDefault="007971E5">
      <w:pPr>
        <w:rPr>
          <w:sz w:val="16"/>
          <w:szCs w:val="16"/>
        </w:rPr>
      </w:pPr>
    </w:p>
    <w:tbl>
      <w:tblPr>
        <w:tblStyle w:val="TableGrid"/>
        <w:tblW w:w="9975" w:type="dxa"/>
        <w:tblInd w:w="-147" w:type="dxa"/>
        <w:tblLook w:val="04A0" w:firstRow="1" w:lastRow="0" w:firstColumn="1" w:lastColumn="0" w:noHBand="0" w:noVBand="1"/>
      </w:tblPr>
      <w:tblGrid>
        <w:gridCol w:w="600"/>
        <w:gridCol w:w="4086"/>
        <w:gridCol w:w="226"/>
        <w:gridCol w:w="587"/>
        <w:gridCol w:w="4476"/>
      </w:tblGrid>
      <w:tr w:rsidR="007971E5" w14:paraId="73FCD06F" w14:textId="77777777">
        <w:tc>
          <w:tcPr>
            <w:tcW w:w="9974" w:type="dxa"/>
            <w:gridSpan w:val="5"/>
            <w:shd w:val="clear" w:color="auto" w:fill="8DB3E2" w:themeFill="text2" w:themeFillTint="66"/>
          </w:tcPr>
          <w:p w14:paraId="14C8BCB9" w14:textId="77777777" w:rsidR="007971E5" w:rsidRDefault="002474E4">
            <w:pPr>
              <w:rPr>
                <w:b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Type of Activity </w:t>
            </w:r>
          </w:p>
        </w:tc>
      </w:tr>
      <w:tr w:rsidR="007971E5" w14:paraId="75D29C8F" w14:textId="77777777">
        <w:tc>
          <w:tcPr>
            <w:tcW w:w="599" w:type="dxa"/>
            <w:shd w:val="clear" w:color="auto" w:fill="auto"/>
          </w:tcPr>
          <w:sdt>
            <w:sdtPr>
              <w:id w:val="139964855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D51A40" w14:textId="77777777" w:rsidR="007971E5" w:rsidRDefault="002474E4">
                <w:pPr>
                  <w:rPr>
                    <w:sz w:val="24"/>
                  </w:rPr>
                </w:pPr>
                <w:r>
                  <w:rPr>
                    <w:rFonts w:ascii="MS Gothic" w:eastAsia="MS Gothic" w:hAnsi="MS Gothic"/>
                    <w:sz w:val="24"/>
                    <w:szCs w:val="24"/>
                  </w:rPr>
                  <w:t>x</w:t>
                </w:r>
              </w:p>
            </w:sdtContent>
          </w:sdt>
        </w:tc>
        <w:tc>
          <w:tcPr>
            <w:tcW w:w="4312" w:type="dxa"/>
            <w:gridSpan w:val="2"/>
            <w:shd w:val="clear" w:color="auto" w:fill="auto"/>
          </w:tcPr>
          <w:p w14:paraId="3E5CE0B1" w14:textId="77777777" w:rsidR="007971E5" w:rsidRDefault="002474E4">
            <w:pPr>
              <w:rPr>
                <w:szCs w:val="24"/>
              </w:rPr>
            </w:pPr>
            <w:r>
              <w:rPr>
                <w:sz w:val="24"/>
                <w:szCs w:val="24"/>
              </w:rPr>
              <w:t>New project</w:t>
            </w:r>
          </w:p>
        </w:tc>
        <w:tc>
          <w:tcPr>
            <w:tcW w:w="587" w:type="dxa"/>
            <w:shd w:val="clear" w:color="auto" w:fill="auto"/>
          </w:tcPr>
          <w:sdt>
            <w:sdtPr>
              <w:id w:val="1652262756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24BF2B" w14:textId="77777777" w:rsidR="007971E5" w:rsidRDefault="002474E4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476" w:type="dxa"/>
            <w:shd w:val="clear" w:color="auto" w:fill="auto"/>
          </w:tcPr>
          <w:p w14:paraId="78C6986E" w14:textId="77777777" w:rsidR="007971E5" w:rsidRDefault="002474E4">
            <w:pPr>
              <w:rPr>
                <w:szCs w:val="24"/>
              </w:rPr>
            </w:pPr>
            <w:r>
              <w:rPr>
                <w:sz w:val="24"/>
                <w:szCs w:val="24"/>
              </w:rPr>
              <w:t>New activity</w:t>
            </w:r>
          </w:p>
        </w:tc>
      </w:tr>
      <w:tr w:rsidR="007971E5" w14:paraId="39C5544E" w14:textId="77777777">
        <w:tc>
          <w:tcPr>
            <w:tcW w:w="599" w:type="dxa"/>
            <w:shd w:val="clear" w:color="auto" w:fill="auto"/>
          </w:tcPr>
          <w:sdt>
            <w:sdtPr>
              <w:id w:val="18856812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CD09AB" w14:textId="77777777" w:rsidR="007971E5" w:rsidRDefault="002474E4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312" w:type="dxa"/>
            <w:gridSpan w:val="2"/>
            <w:shd w:val="clear" w:color="auto" w:fill="auto"/>
          </w:tcPr>
          <w:p w14:paraId="73F8B85D" w14:textId="77777777" w:rsidR="007971E5" w:rsidRDefault="002474E4">
            <w:pPr>
              <w:rPr>
                <w:sz w:val="24"/>
              </w:rPr>
            </w:pPr>
            <w:r>
              <w:rPr>
                <w:sz w:val="24"/>
                <w:szCs w:val="24"/>
              </w:rPr>
              <w:t>Extension of existing project</w:t>
            </w:r>
          </w:p>
        </w:tc>
        <w:tc>
          <w:tcPr>
            <w:tcW w:w="587" w:type="dxa"/>
            <w:shd w:val="clear" w:color="auto" w:fill="auto"/>
          </w:tcPr>
          <w:sdt>
            <w:sdtPr>
              <w:id w:val="76153216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C5C06C" w14:textId="77777777" w:rsidR="007971E5" w:rsidRDefault="002474E4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476" w:type="dxa"/>
            <w:shd w:val="clear" w:color="auto" w:fill="auto"/>
          </w:tcPr>
          <w:p w14:paraId="6873B3CB" w14:textId="77777777" w:rsidR="007971E5" w:rsidRDefault="002474E4">
            <w:pPr>
              <w:rPr>
                <w:szCs w:val="24"/>
              </w:rPr>
            </w:pPr>
            <w:r>
              <w:rPr>
                <w:sz w:val="24"/>
                <w:szCs w:val="24"/>
              </w:rPr>
              <w:t>Extension of existing activity</w:t>
            </w:r>
          </w:p>
        </w:tc>
      </w:tr>
      <w:tr w:rsidR="007971E5" w14:paraId="44AED62A" w14:textId="77777777">
        <w:tc>
          <w:tcPr>
            <w:tcW w:w="4911" w:type="dxa"/>
            <w:gridSpan w:val="3"/>
            <w:shd w:val="clear" w:color="auto" w:fill="auto"/>
          </w:tcPr>
          <w:p w14:paraId="623FFAD7" w14:textId="77777777" w:rsidR="007971E5" w:rsidRDefault="002474E4">
            <w:pPr>
              <w:rPr>
                <w:i/>
                <w:iCs/>
                <w:color w:val="A6A6A6" w:themeColor="background1" w:themeShade="A6"/>
              </w:rPr>
            </w:pPr>
            <w:r>
              <w:rPr>
                <w:i/>
                <w:iCs/>
                <w:color w:val="A6A6A6" w:themeColor="background1" w:themeShade="A6"/>
              </w:rPr>
              <w:t>Projects are undertaken by separate project teams. Projects are expected to produce a significant contribution to achieving the HLG-MOS vision</w:t>
            </w:r>
          </w:p>
          <w:p w14:paraId="4B870763" w14:textId="77777777" w:rsidR="007971E5" w:rsidRDefault="007971E5">
            <w:pPr>
              <w:rPr>
                <w:szCs w:val="24"/>
              </w:rPr>
            </w:pPr>
          </w:p>
        </w:tc>
        <w:tc>
          <w:tcPr>
            <w:tcW w:w="5063" w:type="dxa"/>
            <w:gridSpan w:val="2"/>
            <w:shd w:val="clear" w:color="auto" w:fill="auto"/>
          </w:tcPr>
          <w:p w14:paraId="16332F6B" w14:textId="77777777" w:rsidR="007971E5" w:rsidRDefault="002474E4">
            <w:pPr>
              <w:spacing w:after="240"/>
              <w:rPr>
                <w:i/>
                <w:iCs/>
                <w:color w:val="A6A6A6" w:themeColor="background1" w:themeShade="A6"/>
              </w:rPr>
            </w:pPr>
            <w:r>
              <w:rPr>
                <w:i/>
                <w:iCs/>
                <w:color w:val="A6A6A6" w:themeColor="background1" w:themeShade="A6"/>
              </w:rPr>
              <w:t>Activities are undertaken by Modernisation Groups. These activities produce smaller, more detailed outputs to help achieve the HLG-MOS vision</w:t>
            </w:r>
          </w:p>
        </w:tc>
      </w:tr>
      <w:tr w:rsidR="007971E5" w14:paraId="7598B2CD" w14:textId="77777777">
        <w:tc>
          <w:tcPr>
            <w:tcW w:w="9974" w:type="dxa"/>
            <w:gridSpan w:val="5"/>
            <w:shd w:val="clear" w:color="auto" w:fill="auto"/>
          </w:tcPr>
          <w:p w14:paraId="025AEF3D" w14:textId="77777777" w:rsidR="007971E5" w:rsidRDefault="002474E4">
            <w:pPr>
              <w:spacing w:after="240"/>
              <w:rPr>
                <w:i/>
                <w:iCs/>
                <w:color w:val="A6A6A6" w:themeColor="background1" w:themeShade="A6"/>
              </w:rPr>
            </w:pPr>
            <w:r>
              <w:rPr>
                <w:i/>
                <w:iCs/>
                <w:color w:val="A6A6A6" w:themeColor="background1" w:themeShade="A6"/>
              </w:rPr>
              <w:t>See here for more details: https://statswiki.unece.org/display/hlgbas/HLG-MOS+Strategy</w:t>
            </w:r>
          </w:p>
        </w:tc>
      </w:tr>
      <w:tr w:rsidR="007971E5" w14:paraId="53450AF0" w14:textId="77777777">
        <w:tc>
          <w:tcPr>
            <w:tcW w:w="9974" w:type="dxa"/>
            <w:gridSpan w:val="5"/>
            <w:shd w:val="clear" w:color="auto" w:fill="8DB3E2" w:themeFill="text2" w:themeFillTint="66"/>
          </w:tcPr>
          <w:p w14:paraId="7E1052CA" w14:textId="77777777" w:rsidR="007971E5" w:rsidRDefault="002474E4">
            <w:pPr>
              <w:rPr>
                <w:b/>
                <w:szCs w:val="24"/>
              </w:rPr>
            </w:pPr>
            <w:r>
              <w:rPr>
                <w:b/>
                <w:sz w:val="24"/>
                <w:szCs w:val="24"/>
              </w:rPr>
              <w:t>Purpose</w:t>
            </w:r>
          </w:p>
        </w:tc>
      </w:tr>
      <w:tr w:rsidR="007971E5" w14:paraId="0D6EC24D" w14:textId="77777777">
        <w:tc>
          <w:tcPr>
            <w:tcW w:w="9974" w:type="dxa"/>
            <w:gridSpan w:val="5"/>
            <w:shd w:val="clear" w:color="auto" w:fill="FFFFFF" w:themeFill="background1"/>
          </w:tcPr>
          <w:p w14:paraId="1AC18742" w14:textId="77777777" w:rsidR="007971E5" w:rsidRDefault="002474E4">
            <w:pPr>
              <w:pStyle w:val="BodyText"/>
              <w:rPr>
                <w:lang w:val="en-GB"/>
              </w:rPr>
            </w:pPr>
            <w:r>
              <w:rPr>
                <w:color w:val="000000"/>
              </w:rPr>
              <w:t xml:space="preserve">In the framework of a “National Data Strategy” (NDS), the NSIs </w:t>
            </w:r>
            <w:r w:rsidRPr="00616940">
              <w:rPr>
                <w:bCs/>
                <w:color w:val="000000"/>
              </w:rPr>
              <w:t>roles</w:t>
            </w:r>
            <w:r>
              <w:rPr>
                <w:color w:val="000000"/>
              </w:rPr>
              <w:t xml:space="preserve"> in different countries</w:t>
            </w:r>
            <w:r w:rsidR="009533DB">
              <w:rPr>
                <w:color w:val="000000"/>
              </w:rPr>
              <w:t xml:space="preserve"> do share some similarities but can also be very different</w:t>
            </w:r>
            <w:r>
              <w:rPr>
                <w:color w:val="000000"/>
              </w:rPr>
              <w:t>.</w:t>
            </w:r>
            <w:r w:rsidR="009533DB">
              <w:rPr>
                <w:color w:val="000000"/>
              </w:rPr>
              <w:t xml:space="preserve"> This project aims to address the goal of exploiting how NSIs can better serve the public good within a NDS by investigating: (i) a framework to support strategic decisions, including </w:t>
            </w:r>
            <w:r>
              <w:rPr>
                <w:color w:val="000000"/>
              </w:rPr>
              <w:t>key dimensions, actors and actions</w:t>
            </w:r>
            <w:r w:rsidR="009533DB">
              <w:rPr>
                <w:color w:val="000000"/>
              </w:rPr>
              <w:t>, and (ii</w:t>
            </w:r>
            <w:proofErr w:type="gramStart"/>
            <w:r w:rsidR="009533DB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  </w:t>
            </w:r>
            <w:r w:rsidR="009533DB">
              <w:rPr>
                <w:color w:val="000000"/>
              </w:rPr>
              <w:t>the</w:t>
            </w:r>
            <w:proofErr w:type="gramEnd"/>
            <w:r w:rsidR="009533DB">
              <w:rPr>
                <w:color w:val="000000"/>
              </w:rPr>
              <w:t xml:space="preserve"> technical feasibility of implementing a National-level data hub, including Public Sector Data.</w:t>
            </w:r>
          </w:p>
        </w:tc>
      </w:tr>
      <w:tr w:rsidR="007971E5" w14:paraId="1B13897D" w14:textId="77777777">
        <w:tc>
          <w:tcPr>
            <w:tcW w:w="9974" w:type="dxa"/>
            <w:gridSpan w:val="5"/>
            <w:shd w:val="clear" w:color="auto" w:fill="8DB3E2" w:themeFill="text2" w:themeFillTint="66"/>
          </w:tcPr>
          <w:p w14:paraId="6D20B6D9" w14:textId="77777777" w:rsidR="007971E5" w:rsidRDefault="002474E4">
            <w:pPr>
              <w:rPr>
                <w:b/>
                <w:szCs w:val="24"/>
              </w:rPr>
            </w:pPr>
            <w:r>
              <w:rPr>
                <w:b/>
                <w:sz w:val="24"/>
                <w:szCs w:val="24"/>
              </w:rPr>
              <w:t>Description of the activity</w:t>
            </w:r>
          </w:p>
        </w:tc>
      </w:tr>
      <w:tr w:rsidR="007971E5" w14:paraId="6331726C" w14:textId="77777777">
        <w:tc>
          <w:tcPr>
            <w:tcW w:w="9974" w:type="dxa"/>
            <w:gridSpan w:val="5"/>
            <w:shd w:val="clear" w:color="auto" w:fill="auto"/>
          </w:tcPr>
          <w:p w14:paraId="578E2E31" w14:textId="77777777" w:rsidR="007971E5" w:rsidRDefault="002474E4">
            <w:pPr>
              <w:pStyle w:val="BodyText"/>
            </w:pPr>
            <w:r>
              <w:rPr>
                <w:color w:val="000000"/>
              </w:rPr>
              <w:t>The project will have following outcomes:</w:t>
            </w:r>
          </w:p>
          <w:p w14:paraId="048EE6F8" w14:textId="77777777" w:rsidR="007971E5" w:rsidRDefault="002474E4">
            <w:pPr>
              <w:pStyle w:val="BodyText"/>
              <w:numPr>
                <w:ilvl w:val="0"/>
                <w:numId w:val="3"/>
              </w:numPr>
            </w:pPr>
            <w:r>
              <w:rPr>
                <w:color w:val="000000"/>
              </w:rPr>
              <w:t xml:space="preserve">Review of current roles of NSIs inside </w:t>
            </w:r>
            <w:proofErr w:type="gramStart"/>
            <w:r>
              <w:rPr>
                <w:color w:val="000000"/>
              </w:rPr>
              <w:t>a</w:t>
            </w:r>
            <w:proofErr w:type="gramEnd"/>
            <w:r>
              <w:rPr>
                <w:color w:val="000000"/>
              </w:rPr>
              <w:t xml:space="preserve"> NDS</w:t>
            </w:r>
          </w:p>
          <w:p w14:paraId="793F7169" w14:textId="77777777" w:rsidR="007971E5" w:rsidRDefault="002474E4">
            <w:pPr>
              <w:pStyle w:val="BodyText"/>
              <w:numPr>
                <w:ilvl w:val="0"/>
                <w:numId w:val="3"/>
              </w:numPr>
            </w:pPr>
            <w:r>
              <w:rPr>
                <w:color w:val="000000"/>
              </w:rPr>
              <w:t xml:space="preserve">Analysis of main “dimensions” composing </w:t>
            </w:r>
            <w:proofErr w:type="gramStart"/>
            <w:r>
              <w:rPr>
                <w:color w:val="000000"/>
              </w:rPr>
              <w:t>a</w:t>
            </w:r>
            <w:proofErr w:type="gramEnd"/>
            <w:r>
              <w:rPr>
                <w:color w:val="000000"/>
              </w:rPr>
              <w:t xml:space="preserve"> NDS</w:t>
            </w:r>
          </w:p>
          <w:p w14:paraId="11EEC7A0" w14:textId="77777777" w:rsidR="007971E5" w:rsidRDefault="00616940">
            <w:pPr>
              <w:pStyle w:val="BodyText"/>
              <w:numPr>
                <w:ilvl w:val="0"/>
                <w:numId w:val="3"/>
              </w:numPr>
            </w:pPr>
            <w:ins w:id="0" w:author="Carlo Vaccari" w:date="2018-09-24T19:00:00Z">
              <w:r>
                <w:rPr>
                  <w:color w:val="000000"/>
                </w:rPr>
                <w:t>Use-case: the implementation of National Data Hub</w:t>
              </w:r>
            </w:ins>
            <w:del w:id="1" w:author="Carlo Vaccari" w:date="2018-09-24T19:00:00Z">
              <w:r w:rsidR="002474E4" w:rsidDel="00616940">
                <w:rPr>
                  <w:color w:val="000000"/>
                </w:rPr>
                <w:delText>Guidelines and suggestions for NSIs to improve their relevance within a NDS</w:delText>
              </w:r>
            </w:del>
          </w:p>
          <w:p w14:paraId="106D0FFB" w14:textId="77777777" w:rsidR="007971E5" w:rsidRDefault="002474E4">
            <w:pPr>
              <w:rPr>
                <w:ins w:id="2" w:author="Carlo Vaccari" w:date="2018-09-24T19:01:00Z"/>
                <w:color w:val="000000"/>
              </w:rPr>
            </w:pPr>
            <w:r>
              <w:rPr>
                <w:color w:val="000000"/>
              </w:rPr>
              <w:t>Activities will be carried out according to the following 3 work packages:</w:t>
            </w:r>
          </w:p>
          <w:p w14:paraId="430AD545" w14:textId="77777777" w:rsidR="00616940" w:rsidRDefault="00616940"/>
          <w:p w14:paraId="11A47DAE" w14:textId="77777777" w:rsidR="007971E5" w:rsidRDefault="002474E4">
            <w:pPr>
              <w:pStyle w:val="BodyText"/>
            </w:pPr>
            <w:r>
              <w:rPr>
                <w:b/>
                <w:bCs/>
                <w:color w:val="000000"/>
              </w:rPr>
              <w:t>WP1</w:t>
            </w:r>
            <w:r>
              <w:rPr>
                <w:color w:val="000000"/>
              </w:rPr>
              <w:t xml:space="preserve"> - Review of current roles of NSIs inside NDS, </w:t>
            </w:r>
            <w:proofErr w:type="spellStart"/>
            <w:r>
              <w:rPr>
                <w:color w:val="000000"/>
              </w:rPr>
              <w:t>analyzing</w:t>
            </w:r>
            <w:proofErr w:type="spellEnd"/>
            <w:r>
              <w:rPr>
                <w:color w:val="000000"/>
              </w:rPr>
              <w:t xml:space="preserve"> the NSI centrality in the system, the roles for NSI, Other National Authorities (ONAs) and private partners. Focus on Governance, People aspects (skills, roles), Environment (infrastructure, tools, legislation), </w:t>
            </w:r>
          </w:p>
          <w:p w14:paraId="6E7625DE" w14:textId="77777777" w:rsidR="007971E5" w:rsidRDefault="002474E4">
            <w:pPr>
              <w:pStyle w:val="BodyText"/>
            </w:pPr>
            <w:r>
              <w:rPr>
                <w:b/>
                <w:bCs/>
                <w:color w:val="000000"/>
              </w:rPr>
              <w:t>WP2</w:t>
            </w:r>
            <w:r>
              <w:rPr>
                <w:color w:val="000000"/>
              </w:rPr>
              <w:t xml:space="preserve"> - Analysis of main “dimensions” </w:t>
            </w:r>
            <w:proofErr w:type="gramStart"/>
            <w:r>
              <w:rPr>
                <w:color w:val="000000"/>
              </w:rPr>
              <w:t>composing  a</w:t>
            </w:r>
            <w:proofErr w:type="gramEnd"/>
            <w:r>
              <w:rPr>
                <w:color w:val="000000"/>
              </w:rPr>
              <w:t xml:space="preserve"> National Data Strategy. A first list of main “dimensions”</w:t>
            </w:r>
            <w:r w:rsidR="000D71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could include:</w:t>
            </w:r>
          </w:p>
          <w:p w14:paraId="4597B58D" w14:textId="77777777" w:rsidR="007971E5" w:rsidRDefault="002474E4">
            <w:pPr>
              <w:pStyle w:val="BodyText"/>
              <w:numPr>
                <w:ilvl w:val="0"/>
                <w:numId w:val="1"/>
              </w:numPr>
            </w:pPr>
            <w:r>
              <w:rPr>
                <w:color w:val="000000"/>
              </w:rPr>
              <w:t>Metadata definition – Data Integration</w:t>
            </w:r>
          </w:p>
          <w:p w14:paraId="681CBE75" w14:textId="77777777" w:rsidR="007971E5" w:rsidRDefault="002474E4">
            <w:pPr>
              <w:pStyle w:val="BodyText"/>
              <w:numPr>
                <w:ilvl w:val="0"/>
                <w:numId w:val="1"/>
              </w:numPr>
            </w:pPr>
            <w:r>
              <w:rPr>
                <w:color w:val="000000"/>
              </w:rPr>
              <w:t>Data Access – Privacy Management (GDPR)</w:t>
            </w:r>
          </w:p>
          <w:p w14:paraId="31C37F59" w14:textId="77777777" w:rsidR="007971E5" w:rsidRDefault="002474E4">
            <w:pPr>
              <w:pStyle w:val="BodyText"/>
              <w:numPr>
                <w:ilvl w:val="0"/>
                <w:numId w:val="1"/>
              </w:numPr>
            </w:pPr>
            <w:r>
              <w:rPr>
                <w:color w:val="000000"/>
              </w:rPr>
              <w:t>Data Quality – Cleaning/Transforming</w:t>
            </w:r>
          </w:p>
          <w:p w14:paraId="33F941F0" w14:textId="77777777" w:rsidR="000D7150" w:rsidRDefault="002474E4">
            <w:pPr>
              <w:pStyle w:val="BodyText"/>
              <w:rPr>
                <w:color w:val="000000"/>
              </w:rPr>
            </w:pPr>
            <w:r>
              <w:rPr>
                <w:color w:val="000000"/>
              </w:rPr>
              <w:t xml:space="preserve">For each dimension </w:t>
            </w:r>
            <w:r w:rsidR="000D7150">
              <w:rPr>
                <w:color w:val="000000"/>
              </w:rPr>
              <w:t>will be analysed:</w:t>
            </w:r>
          </w:p>
          <w:p w14:paraId="7C636E66" w14:textId="77777777" w:rsidR="007971E5" w:rsidRPr="00616940" w:rsidRDefault="002474E4" w:rsidP="00616940">
            <w:pPr>
              <w:pStyle w:val="BodyText"/>
              <w:numPr>
                <w:ilvl w:val="0"/>
                <w:numId w:val="5"/>
              </w:numPr>
            </w:pPr>
            <w:r>
              <w:rPr>
                <w:color w:val="000000"/>
              </w:rPr>
              <w:t xml:space="preserve">the possible roles for NSIs </w:t>
            </w:r>
            <w:r w:rsidR="000D7150">
              <w:rPr>
                <w:color w:val="000000"/>
              </w:rPr>
              <w:t xml:space="preserve">and for other actors </w:t>
            </w:r>
            <w:r>
              <w:rPr>
                <w:color w:val="000000"/>
              </w:rPr>
              <w:t xml:space="preserve">involved </w:t>
            </w:r>
          </w:p>
          <w:p w14:paraId="0D8F3392" w14:textId="77777777" w:rsidR="000D7150" w:rsidRDefault="000D7150" w:rsidP="00616940">
            <w:pPr>
              <w:pStyle w:val="BodyText"/>
              <w:numPr>
                <w:ilvl w:val="0"/>
                <w:numId w:val="5"/>
              </w:numPr>
              <w:rPr>
                <w:lang w:val="en-GB"/>
              </w:rPr>
            </w:pPr>
            <w:r>
              <w:rPr>
                <w:color w:val="000000"/>
              </w:rPr>
              <w:t>the software tools and the architectures available for the implementation of NDS</w:t>
            </w:r>
          </w:p>
          <w:p w14:paraId="49BA2CE6" w14:textId="77777777" w:rsidR="000D7150" w:rsidDel="00616940" w:rsidRDefault="000D7150">
            <w:pPr>
              <w:pStyle w:val="BodyText"/>
              <w:rPr>
                <w:del w:id="3" w:author="Carlo Vaccari" w:date="2018-09-24T19:01:00Z"/>
                <w:b/>
                <w:bCs/>
                <w:color w:val="000000"/>
              </w:rPr>
            </w:pPr>
          </w:p>
          <w:p w14:paraId="06594AA0" w14:textId="77777777" w:rsidR="000D7150" w:rsidRDefault="000D7150">
            <w:pPr>
              <w:pStyle w:val="BodyText"/>
              <w:rPr>
                <w:b/>
                <w:bCs/>
                <w:color w:val="000000"/>
              </w:rPr>
            </w:pPr>
          </w:p>
          <w:p w14:paraId="2A909226" w14:textId="77777777" w:rsidR="000D7150" w:rsidRDefault="002474E4">
            <w:pPr>
              <w:pStyle w:val="BodyText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WP3</w:t>
            </w:r>
            <w:r>
              <w:rPr>
                <w:color w:val="000000"/>
              </w:rPr>
              <w:t xml:space="preserve"> </w:t>
            </w:r>
            <w:r w:rsidR="000D7150">
              <w:rPr>
                <w:color w:val="000000"/>
              </w:rPr>
              <w:t>–</w:t>
            </w:r>
            <w:r>
              <w:rPr>
                <w:color w:val="000000"/>
              </w:rPr>
              <w:t xml:space="preserve"> </w:t>
            </w:r>
            <w:r w:rsidR="000D7150">
              <w:rPr>
                <w:color w:val="000000"/>
              </w:rPr>
              <w:t xml:space="preserve">Case-study: NSI as manager of </w:t>
            </w:r>
            <w:r w:rsidR="000D7150" w:rsidRPr="00616940">
              <w:rPr>
                <w:b/>
                <w:color w:val="000000"/>
              </w:rPr>
              <w:t>National Data Hub</w:t>
            </w:r>
            <w:r w:rsidR="000D7150">
              <w:rPr>
                <w:color w:val="000000"/>
              </w:rPr>
              <w:t xml:space="preserve"> - NSI</w:t>
            </w:r>
            <w:r w:rsidR="00E449D4">
              <w:rPr>
                <w:color w:val="000000"/>
              </w:rPr>
              <w:t>s</w:t>
            </w:r>
            <w:r w:rsidR="000D7150">
              <w:rPr>
                <w:color w:val="000000"/>
              </w:rPr>
              <w:t xml:space="preserve"> could lead the creation of central Data Hub, pooling all public administration data and providing a single point of access</w:t>
            </w:r>
          </w:p>
          <w:p w14:paraId="07439439" w14:textId="77777777" w:rsidR="00E449D4" w:rsidRDefault="00E449D4">
            <w:pPr>
              <w:pStyle w:val="BodyText"/>
              <w:rPr>
                <w:color w:val="000000"/>
              </w:rPr>
            </w:pPr>
            <w:r>
              <w:rPr>
                <w:color w:val="000000"/>
              </w:rPr>
              <w:t>Possible activities include:</w:t>
            </w:r>
          </w:p>
          <w:p w14:paraId="469A0F12" w14:textId="77777777" w:rsidR="00E449D4" w:rsidRPr="00616940" w:rsidRDefault="00E449D4" w:rsidP="00616940">
            <w:pPr>
              <w:pStyle w:val="BodyText"/>
              <w:numPr>
                <w:ilvl w:val="0"/>
                <w:numId w:val="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the design of a prototype of National Data Hub that </w:t>
            </w:r>
            <w:r>
              <w:rPr>
                <w:lang w:val="en"/>
              </w:rPr>
              <w:t>can show the technical feasibility and that can highlight the problems (technological and “political”) to be faced in the implementation</w:t>
            </w:r>
          </w:p>
          <w:p w14:paraId="1F410081" w14:textId="77777777" w:rsidR="00E449D4" w:rsidRPr="00616940" w:rsidRDefault="00E449D4" w:rsidP="00616940">
            <w:pPr>
              <w:pStyle w:val="BodyText"/>
              <w:numPr>
                <w:ilvl w:val="0"/>
                <w:numId w:val="5"/>
              </w:numPr>
              <w:rPr>
                <w:color w:val="000000"/>
              </w:rPr>
            </w:pPr>
            <w:r>
              <w:rPr>
                <w:lang w:val="en"/>
              </w:rPr>
              <w:t>the test of the software tools needed to implement the Data Hubs</w:t>
            </w:r>
          </w:p>
          <w:p w14:paraId="1BBD1BF9" w14:textId="77777777" w:rsidR="00E449D4" w:rsidRPr="00616940" w:rsidRDefault="00E449D4" w:rsidP="00616940">
            <w:pPr>
              <w:pStyle w:val="BodyText"/>
              <w:numPr>
                <w:ilvl w:val="0"/>
                <w:numId w:val="5"/>
              </w:numPr>
              <w:rPr>
                <w:color w:val="000000"/>
              </w:rPr>
            </w:pPr>
            <w:r>
              <w:t>the analysis of existing standards to integrate metadata for the public sector (DCAT and others)</w:t>
            </w:r>
          </w:p>
          <w:p w14:paraId="40E6E165" w14:textId="77777777" w:rsidR="000D7150" w:rsidRPr="00E449D4" w:rsidRDefault="00E449D4" w:rsidP="00616940">
            <w:pPr>
              <w:pStyle w:val="BodyText"/>
              <w:numPr>
                <w:ilvl w:val="0"/>
                <w:numId w:val="5"/>
              </w:numPr>
              <w:rPr>
                <w:color w:val="000000"/>
                <w:lang w:val="en-GB"/>
              </w:rPr>
            </w:pPr>
            <w:r>
              <w:t>the design of disclosure control/access services for securing data privacy</w:t>
            </w:r>
          </w:p>
          <w:p w14:paraId="7461B389" w14:textId="77777777" w:rsidR="007971E5" w:rsidRPr="00E449D4" w:rsidRDefault="00E449D4" w:rsidP="00616940">
            <w:pPr>
              <w:pStyle w:val="BodyText"/>
              <w:rPr>
                <w:lang w:val="en-GB"/>
              </w:rPr>
            </w:pPr>
            <w:r>
              <w:rPr>
                <w:color w:val="000000"/>
              </w:rPr>
              <w:t xml:space="preserve">From </w:t>
            </w:r>
            <w:proofErr w:type="gramStart"/>
            <w:r>
              <w:rPr>
                <w:color w:val="000000"/>
              </w:rPr>
              <w:t>this activities</w:t>
            </w:r>
            <w:proofErr w:type="gramEnd"/>
            <w:r>
              <w:rPr>
                <w:color w:val="000000"/>
              </w:rPr>
              <w:t xml:space="preserve"> the project could also derive guidelines in order to help NSIs to a</w:t>
            </w:r>
            <w:r w:rsidR="002474E4">
              <w:rPr>
                <w:color w:val="000000"/>
              </w:rPr>
              <w:t>ssess</w:t>
            </w:r>
            <w:r>
              <w:rPr>
                <w:color w:val="000000"/>
              </w:rPr>
              <w:t xml:space="preserve"> the</w:t>
            </w:r>
            <w:r w:rsidR="002474E4">
              <w:rPr>
                <w:color w:val="000000"/>
              </w:rPr>
              <w:t xml:space="preserve"> current situation</w:t>
            </w:r>
            <w:r>
              <w:rPr>
                <w:color w:val="000000"/>
              </w:rPr>
              <w:t>, identifying k</w:t>
            </w:r>
            <w:r w:rsidR="002474E4">
              <w:rPr>
                <w:color w:val="000000"/>
              </w:rPr>
              <w:t>ey enablers</w:t>
            </w:r>
            <w:r>
              <w:rPr>
                <w:color w:val="000000"/>
              </w:rPr>
              <w:t>, skills needed, software platforms and communication strategies</w:t>
            </w:r>
          </w:p>
        </w:tc>
      </w:tr>
      <w:tr w:rsidR="007971E5" w14:paraId="384CCAC7" w14:textId="77777777">
        <w:tc>
          <w:tcPr>
            <w:tcW w:w="9974" w:type="dxa"/>
            <w:gridSpan w:val="5"/>
            <w:shd w:val="clear" w:color="auto" w:fill="8DB3E2" w:themeFill="text2" w:themeFillTint="66"/>
          </w:tcPr>
          <w:p w14:paraId="7AFF898C" w14:textId="77777777" w:rsidR="007971E5" w:rsidRDefault="002474E4">
            <w:pPr>
              <w:rPr>
                <w:b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Alternatives considered</w:t>
            </w:r>
          </w:p>
        </w:tc>
      </w:tr>
      <w:tr w:rsidR="007971E5" w14:paraId="692E0F8A" w14:textId="77777777">
        <w:tc>
          <w:tcPr>
            <w:tcW w:w="9974" w:type="dxa"/>
            <w:gridSpan w:val="5"/>
            <w:shd w:val="clear" w:color="auto" w:fill="auto"/>
          </w:tcPr>
          <w:p w14:paraId="750C0523" w14:textId="77777777" w:rsidR="007971E5" w:rsidRDefault="002474E4">
            <w:pPr>
              <w:spacing w:after="240"/>
            </w:pPr>
            <w:r>
              <w:rPr>
                <w:i/>
                <w:iCs/>
                <w:color w:val="A6A6A6" w:themeColor="background1" w:themeShade="A6"/>
              </w:rPr>
              <w:t>What is the impact if we do nothing? Could the work be done on a smaller scale?</w:t>
            </w:r>
          </w:p>
        </w:tc>
      </w:tr>
      <w:tr w:rsidR="007971E5" w14:paraId="3CBA39AD" w14:textId="77777777">
        <w:tc>
          <w:tcPr>
            <w:tcW w:w="9974" w:type="dxa"/>
            <w:gridSpan w:val="5"/>
            <w:shd w:val="clear" w:color="auto" w:fill="8DB3E2" w:themeFill="text2" w:themeFillTint="66"/>
          </w:tcPr>
          <w:p w14:paraId="27171CD7" w14:textId="77777777" w:rsidR="007971E5" w:rsidRDefault="002474E4">
            <w:pPr>
              <w:rPr>
                <w:b/>
                <w:szCs w:val="24"/>
              </w:rPr>
            </w:pPr>
            <w:r>
              <w:rPr>
                <w:b/>
                <w:sz w:val="24"/>
                <w:szCs w:val="24"/>
              </w:rPr>
              <w:t>How does it relate to the HLG-MOS vision and other activities under the HLG-MOS?</w:t>
            </w:r>
          </w:p>
        </w:tc>
      </w:tr>
      <w:tr w:rsidR="007971E5" w14:paraId="48FC2060" w14:textId="77777777">
        <w:trPr>
          <w:trHeight w:val="391"/>
        </w:trPr>
        <w:tc>
          <w:tcPr>
            <w:tcW w:w="9974" w:type="dxa"/>
            <w:gridSpan w:val="5"/>
            <w:shd w:val="clear" w:color="auto" w:fill="auto"/>
          </w:tcPr>
          <w:p w14:paraId="4F4365F5" w14:textId="77777777" w:rsidR="007971E5" w:rsidRDefault="002474E4">
            <w:pPr>
              <w:rPr>
                <w:color w:val="000000"/>
              </w:rPr>
            </w:pPr>
            <w:r>
              <w:rPr>
                <w:color w:val="000000"/>
              </w:rPr>
              <w:t>Coherent with the goals: “Actively engage” and “Be a trusted Data Authority”.</w:t>
            </w:r>
          </w:p>
          <w:p w14:paraId="67AB461D" w14:textId="77777777" w:rsidR="007971E5" w:rsidRDefault="002474E4">
            <w:pPr>
              <w:rPr>
                <w:color w:val="000000"/>
              </w:rPr>
            </w:pPr>
            <w:r>
              <w:rPr>
                <w:color w:val="000000"/>
              </w:rPr>
              <w:t>Can use some output coming from CSDA project</w:t>
            </w:r>
          </w:p>
          <w:p w14:paraId="30ADA5C5" w14:textId="77777777" w:rsidR="007971E5" w:rsidRDefault="002474E4">
            <w:r>
              <w:rPr>
                <w:i/>
                <w:iCs/>
                <w:color w:val="A6A6A6" w:themeColor="background1" w:themeShade="A6"/>
              </w:rPr>
              <w:t>Describe how the activity will support the HLG-MOS vision and how it relates to current or previous activities.</w:t>
            </w:r>
          </w:p>
          <w:p w14:paraId="10BD4B3D" w14:textId="77777777" w:rsidR="007971E5" w:rsidRDefault="002474E4">
            <w:pPr>
              <w:rPr>
                <w:i/>
                <w:iCs/>
                <w:color w:val="A6A6A6" w:themeColor="background1" w:themeShade="A6"/>
              </w:rPr>
            </w:pPr>
            <w:r>
              <w:rPr>
                <w:i/>
                <w:iCs/>
                <w:color w:val="A6A6A6" w:themeColor="background1" w:themeShade="A6"/>
              </w:rPr>
              <w:t>Link to HLG-MOS Vision: https://statswiki.unece.org/pages/viewpage.action?pageId=187891840</w:t>
            </w:r>
          </w:p>
        </w:tc>
      </w:tr>
      <w:tr w:rsidR="007971E5" w14:paraId="52D76FA4" w14:textId="77777777">
        <w:tc>
          <w:tcPr>
            <w:tcW w:w="9974" w:type="dxa"/>
            <w:gridSpan w:val="5"/>
            <w:shd w:val="clear" w:color="auto" w:fill="8DB3E2" w:themeFill="text2" w:themeFillTint="66"/>
          </w:tcPr>
          <w:p w14:paraId="0B72EC14" w14:textId="77777777" w:rsidR="007971E5" w:rsidRDefault="002474E4">
            <w:pPr>
              <w:rPr>
                <w:b/>
                <w:szCs w:val="24"/>
              </w:rPr>
            </w:pPr>
            <w:r>
              <w:rPr>
                <w:b/>
                <w:sz w:val="24"/>
                <w:szCs w:val="24"/>
              </w:rPr>
              <w:t>Proposed start and end dates</w:t>
            </w:r>
          </w:p>
        </w:tc>
      </w:tr>
      <w:tr w:rsidR="007971E5" w14:paraId="191497BF" w14:textId="77777777">
        <w:tc>
          <w:tcPr>
            <w:tcW w:w="4685" w:type="dxa"/>
            <w:gridSpan w:val="2"/>
            <w:shd w:val="clear" w:color="auto" w:fill="auto"/>
          </w:tcPr>
          <w:p w14:paraId="2DE2BF25" w14:textId="77777777" w:rsidR="007971E5" w:rsidRDefault="002474E4">
            <w:pPr>
              <w:rPr>
                <w:b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Start: </w:t>
            </w:r>
            <w:r>
              <w:rPr>
                <w:color w:val="000000"/>
                <w:sz w:val="24"/>
              </w:rPr>
              <w:t>January 2019</w:t>
            </w:r>
          </w:p>
        </w:tc>
        <w:tc>
          <w:tcPr>
            <w:tcW w:w="5289" w:type="dxa"/>
            <w:gridSpan w:val="3"/>
            <w:shd w:val="clear" w:color="auto" w:fill="auto"/>
          </w:tcPr>
          <w:p w14:paraId="6ECBBCBD" w14:textId="77777777" w:rsidR="007971E5" w:rsidRDefault="002474E4">
            <w:pPr>
              <w:rPr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End: </w:t>
            </w:r>
            <w:r>
              <w:rPr>
                <w:color w:val="000000"/>
                <w:sz w:val="24"/>
              </w:rPr>
              <w:t>December 2019</w:t>
            </w:r>
          </w:p>
        </w:tc>
        <w:bookmarkStart w:id="4" w:name="_GoBack"/>
        <w:bookmarkEnd w:id="4"/>
      </w:tr>
      <w:tr w:rsidR="007971E5" w14:paraId="2C1025C8" w14:textId="77777777">
        <w:tc>
          <w:tcPr>
            <w:tcW w:w="9974" w:type="dxa"/>
            <w:gridSpan w:val="5"/>
            <w:shd w:val="clear" w:color="auto" w:fill="auto"/>
          </w:tcPr>
          <w:p w14:paraId="460E423E" w14:textId="77777777" w:rsidR="007971E5" w:rsidRDefault="007971E5">
            <w:pPr>
              <w:spacing w:after="120"/>
              <w:rPr>
                <w:i/>
                <w:iCs/>
                <w:color w:val="A6A6A6" w:themeColor="background1" w:themeShade="A6"/>
              </w:rPr>
            </w:pPr>
          </w:p>
        </w:tc>
      </w:tr>
    </w:tbl>
    <w:p w14:paraId="02863AA8" w14:textId="77777777" w:rsidR="007971E5" w:rsidRDefault="007971E5">
      <w:pPr>
        <w:rPr>
          <w:b/>
          <w:sz w:val="28"/>
          <w:szCs w:val="28"/>
        </w:rPr>
      </w:pPr>
    </w:p>
    <w:p w14:paraId="72850011" w14:textId="58163F54" w:rsidR="007971E5" w:rsidDel="004A3FD3" w:rsidRDefault="002474E4">
      <w:pPr>
        <w:rPr>
          <w:del w:id="5" w:author="Tanya" w:date="2018-11-21T11:11:00Z"/>
          <w:b/>
          <w:sz w:val="28"/>
          <w:szCs w:val="28"/>
        </w:rPr>
      </w:pPr>
      <w:del w:id="6" w:author="Tanya" w:date="2018-11-21T11:11:00Z">
        <w:r w:rsidDel="004A3FD3">
          <w:rPr>
            <w:b/>
            <w:sz w:val="28"/>
            <w:szCs w:val="28"/>
          </w:rPr>
          <w:delText>Guidance notes for completing the template</w:delText>
        </w:r>
      </w:del>
    </w:p>
    <w:p w14:paraId="73607F7D" w14:textId="68886436" w:rsidR="007971E5" w:rsidDel="004A3FD3" w:rsidRDefault="007971E5">
      <w:pPr>
        <w:rPr>
          <w:del w:id="7" w:author="Tanya" w:date="2018-11-21T11:11:00Z"/>
        </w:rPr>
      </w:pPr>
    </w:p>
    <w:p w14:paraId="5807E428" w14:textId="2585A213" w:rsidR="007971E5" w:rsidDel="004A3FD3" w:rsidRDefault="002474E4">
      <w:pPr>
        <w:spacing w:after="120"/>
        <w:rPr>
          <w:del w:id="8" w:author="Tanya" w:date="2018-11-21T11:11:00Z"/>
          <w:rFonts w:cstheme="minorHAnsi"/>
          <w:sz w:val="24"/>
          <w:szCs w:val="24"/>
          <w:lang w:val="en-US"/>
        </w:rPr>
      </w:pPr>
      <w:del w:id="9" w:author="Tanya" w:date="2018-11-21T11:11:00Z">
        <w:r w:rsidDel="004A3FD3">
          <w:rPr>
            <w:rFonts w:cstheme="minorHAnsi"/>
            <w:sz w:val="24"/>
            <w:szCs w:val="24"/>
            <w:lang w:val="en-US"/>
          </w:rPr>
          <w:delText xml:space="preserve">Business cases should be </w:delText>
        </w:r>
        <w:r w:rsidDel="004A3FD3">
          <w:rPr>
            <w:rFonts w:cstheme="minorHAnsi"/>
            <w:b/>
            <w:sz w:val="24"/>
            <w:szCs w:val="24"/>
            <w:lang w:val="en-US"/>
          </w:rPr>
          <w:delText>strictly no longer than 2 pages</w:delText>
        </w:r>
        <w:r w:rsidDel="004A3FD3">
          <w:rPr>
            <w:rFonts w:cstheme="minorHAnsi"/>
            <w:sz w:val="24"/>
            <w:szCs w:val="24"/>
            <w:lang w:val="en-US"/>
          </w:rPr>
          <w:delText>. Keep your text short and to the point. You can delete these guidance notes when you have completed the business case.</w:delText>
        </w:r>
      </w:del>
    </w:p>
    <w:p w14:paraId="41C8B536" w14:textId="3B6B64C6" w:rsidR="007971E5" w:rsidRDefault="002474E4">
      <w:pPr>
        <w:spacing w:after="120"/>
      </w:pPr>
      <w:del w:id="10" w:author="Tanya" w:date="2018-11-21T11:11:00Z">
        <w:r w:rsidDel="004A3FD3">
          <w:rPr>
            <w:rFonts w:cstheme="minorHAnsi"/>
            <w:sz w:val="24"/>
            <w:szCs w:val="24"/>
            <w:lang w:val="en-US"/>
          </w:rPr>
          <w:delText>Business cases should not go into technical details. Remember, the audience for your business case will be chief statisticians. They will not accept a proposal just because you think it is a good idea. They will need to be convinced!</w:delText>
        </w:r>
      </w:del>
    </w:p>
    <w:sectPr w:rsidR="007971E5">
      <w:pgSz w:w="11906" w:h="16838"/>
      <w:pgMar w:top="1152" w:right="1152" w:bottom="1152" w:left="1152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15802"/>
    <w:multiLevelType w:val="multilevel"/>
    <w:tmpl w:val="FD0C58B2"/>
    <w:lvl w:ilvl="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143"/>
        </w:tabs>
        <w:ind w:left="1143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3"/>
        </w:tabs>
        <w:ind w:left="1503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3"/>
        </w:tabs>
        <w:ind w:left="1863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23"/>
        </w:tabs>
        <w:ind w:left="2223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3"/>
        </w:tabs>
        <w:ind w:left="2583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03"/>
        </w:tabs>
        <w:ind w:left="3303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3"/>
        </w:tabs>
        <w:ind w:left="3663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18367213"/>
    <w:multiLevelType w:val="hybridMultilevel"/>
    <w:tmpl w:val="6FACA5DE"/>
    <w:lvl w:ilvl="0" w:tplc="AC7C8352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52F73"/>
    <w:multiLevelType w:val="multilevel"/>
    <w:tmpl w:val="FB28D0E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38AE3761"/>
    <w:multiLevelType w:val="multilevel"/>
    <w:tmpl w:val="8E34C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504D5EF0"/>
    <w:multiLevelType w:val="hybridMultilevel"/>
    <w:tmpl w:val="B9627D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D27954"/>
    <w:multiLevelType w:val="hybridMultilevel"/>
    <w:tmpl w:val="B51C8C0C"/>
    <w:lvl w:ilvl="0" w:tplc="AC7C8352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762D7B"/>
    <w:multiLevelType w:val="multilevel"/>
    <w:tmpl w:val="16285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anya">
    <w15:presenceInfo w15:providerId="None" w15:userId="Tany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71E5"/>
    <w:rsid w:val="000D7150"/>
    <w:rsid w:val="002474E4"/>
    <w:rsid w:val="004A3FD3"/>
    <w:rsid w:val="00616940"/>
    <w:rsid w:val="007971E5"/>
    <w:rsid w:val="008B773B"/>
    <w:rsid w:val="009533DB"/>
    <w:rsid w:val="00E44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686F3"/>
  <w15:docId w15:val="{DDE7AD24-EC57-4A08-9913-1A76C5B8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Arial"/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4551B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qFormat/>
    <w:rsid w:val="00397639"/>
  </w:style>
  <w:style w:type="character" w:styleId="CommentReference">
    <w:name w:val="annotation reference"/>
    <w:basedOn w:val="DefaultParagraphFont"/>
    <w:uiPriority w:val="99"/>
    <w:semiHidden/>
    <w:unhideWhenUsed/>
    <w:qFormat/>
    <w:rsid w:val="0042690E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42690E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42690E"/>
    <w:rPr>
      <w:b/>
      <w:bCs/>
      <w:sz w:val="20"/>
      <w:szCs w:val="20"/>
    </w:rPr>
  </w:style>
  <w:style w:type="character" w:customStyle="1" w:styleId="InternetLink">
    <w:name w:val="Internet Link"/>
    <w:basedOn w:val="DefaultParagraphFont"/>
    <w:uiPriority w:val="99"/>
    <w:unhideWhenUsed/>
    <w:rsid w:val="005A2F4B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4E4F90"/>
  </w:style>
  <w:style w:type="character" w:customStyle="1" w:styleId="FooterChar">
    <w:name w:val="Footer Char"/>
    <w:basedOn w:val="DefaultParagraphFont"/>
    <w:link w:val="Footer"/>
    <w:uiPriority w:val="99"/>
    <w:qFormat/>
    <w:rsid w:val="004E4F90"/>
  </w:style>
  <w:style w:type="character" w:customStyle="1" w:styleId="ListLabel1">
    <w:name w:val="ListLabel 1"/>
    <w:qFormat/>
    <w:rPr>
      <w:b/>
      <w:i w:val="0"/>
      <w:sz w:val="24"/>
      <w:szCs w:val="24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ascii="Calibri" w:hAnsi="Calibri"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rFonts w:cs="OpenSymbol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  <w:rPr>
      <w:rFonts w:cs="OpenSymbol"/>
    </w:rPr>
  </w:style>
  <w:style w:type="character" w:customStyle="1" w:styleId="ListLabel40">
    <w:name w:val="ListLabel 40"/>
    <w:qFormat/>
    <w:rPr>
      <w:rFonts w:cs="OpenSymbol"/>
    </w:rPr>
  </w:style>
  <w:style w:type="character" w:customStyle="1" w:styleId="ListLabel41">
    <w:name w:val="ListLabel 41"/>
    <w:qFormat/>
    <w:rPr>
      <w:rFonts w:ascii="Calibri" w:hAnsi="Calibri"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4551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07F4"/>
    <w:pPr>
      <w:ind w:left="720"/>
      <w:contextualSpacing/>
    </w:pPr>
    <w:rPr>
      <w:sz w:val="24"/>
      <w:lang w:val="en-AU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42690E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42690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E4F90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E4F90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59"/>
    <w:rsid w:val="000507F4"/>
    <w:rPr>
      <w:sz w:val="24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620</Words>
  <Characters>3537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UNECE</Company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</dc:creator>
  <cp:lastModifiedBy>Tanya</cp:lastModifiedBy>
  <cp:revision>2</cp:revision>
  <dcterms:created xsi:type="dcterms:W3CDTF">2018-11-21T10:12:00Z</dcterms:created>
  <dcterms:modified xsi:type="dcterms:W3CDTF">2018-11-21T10:12:00Z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UNECE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