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02F961" w14:textId="1AECB9B5" w:rsidR="000F52AF" w:rsidRPr="000014D6" w:rsidRDefault="0018054F" w:rsidP="000014D6">
      <w:pPr>
        <w:pStyle w:val="Heading1"/>
      </w:pPr>
      <w:bookmarkStart w:id="0" w:name="_GoBack"/>
      <w:bookmarkEnd w:id="0"/>
      <w:r w:rsidRPr="000014D6">
        <w:t>GREEN PAPER</w:t>
      </w:r>
      <w:r w:rsidR="000014D6" w:rsidRPr="000014D6">
        <w:t xml:space="preserve">: </w:t>
      </w:r>
      <w:r w:rsidRPr="000014D6">
        <w:t>Developing Organisational Resilience in Statistical Organisations</w:t>
      </w:r>
    </w:p>
    <w:p w14:paraId="2B25D801" w14:textId="77777777" w:rsidR="0018054F" w:rsidRDefault="0018054F" w:rsidP="000014D6">
      <w:pPr>
        <w:spacing w:after="0" w:line="240" w:lineRule="auto"/>
        <w:rPr>
          <w:rFonts w:cstheme="minorHAnsi"/>
          <w:lang w:val="en-GB"/>
        </w:rPr>
      </w:pPr>
    </w:p>
    <w:p w14:paraId="65DC6911" w14:textId="77777777" w:rsidR="0018054F" w:rsidRPr="0018054F" w:rsidRDefault="0018054F" w:rsidP="007D018B">
      <w:pPr>
        <w:spacing w:line="240" w:lineRule="auto"/>
        <w:rPr>
          <w:rFonts w:cstheme="minorHAnsi"/>
          <w:lang w:val="en-GB"/>
        </w:rPr>
      </w:pPr>
      <w:r w:rsidRPr="0018054F">
        <w:rPr>
          <w:rFonts w:cstheme="minorHAnsi"/>
          <w:lang w:val="en-GB"/>
        </w:rPr>
        <w:t xml:space="preserve">This green paper introduces </w:t>
      </w:r>
      <w:r w:rsidR="00CC2C56">
        <w:rPr>
          <w:rFonts w:cstheme="minorHAnsi"/>
          <w:lang w:val="en-GB"/>
        </w:rPr>
        <w:t>the concept</w:t>
      </w:r>
      <w:r w:rsidRPr="0018054F">
        <w:rPr>
          <w:rFonts w:cstheme="minorHAnsi"/>
          <w:lang w:val="en-GB"/>
        </w:rPr>
        <w:t xml:space="preserve"> </w:t>
      </w:r>
      <w:r w:rsidR="00CC2C56">
        <w:rPr>
          <w:rFonts w:cstheme="minorHAnsi"/>
          <w:lang w:val="en-GB"/>
        </w:rPr>
        <w:t>of organisational resilience</w:t>
      </w:r>
      <w:r w:rsidRPr="0018054F">
        <w:rPr>
          <w:rFonts w:cstheme="minorHAnsi"/>
          <w:lang w:val="en-GB"/>
        </w:rPr>
        <w:t xml:space="preserve"> and why it is important to statistical organisations. It also proposes further work on this topic. </w:t>
      </w:r>
    </w:p>
    <w:p w14:paraId="53B78EAF" w14:textId="35790815" w:rsidR="0018054F" w:rsidRDefault="0018054F" w:rsidP="000014D6">
      <w:pPr>
        <w:pStyle w:val="Heading2"/>
      </w:pPr>
      <w:r w:rsidRPr="000014D6">
        <w:t>What is organisational resilience</w:t>
      </w:r>
    </w:p>
    <w:p w14:paraId="7F37D09C" w14:textId="77777777" w:rsidR="00EF347C" w:rsidRPr="00EF347C" w:rsidRDefault="00EF347C" w:rsidP="00186EBE">
      <w:pPr>
        <w:spacing w:after="0"/>
      </w:pPr>
    </w:p>
    <w:p w14:paraId="43E9C3CA" w14:textId="3690DF5A" w:rsidR="00D764C6" w:rsidRDefault="0018054F" w:rsidP="000014D6">
      <w:pPr>
        <w:spacing w:line="240" w:lineRule="auto"/>
        <w:rPr>
          <w:rFonts w:cstheme="minorHAnsi"/>
        </w:rPr>
      </w:pPr>
      <w:r w:rsidRPr="0018054F">
        <w:rPr>
          <w:rFonts w:cstheme="minorHAnsi"/>
        </w:rPr>
        <w:t>According to the B</w:t>
      </w:r>
      <w:r w:rsidR="008B5731">
        <w:rPr>
          <w:rFonts w:cstheme="minorHAnsi"/>
        </w:rPr>
        <w:t xml:space="preserve">ritish Standards </w:t>
      </w:r>
      <w:r w:rsidRPr="0018054F">
        <w:rPr>
          <w:rFonts w:cstheme="minorHAnsi"/>
        </w:rPr>
        <w:t>I</w:t>
      </w:r>
      <w:r w:rsidR="008B5731">
        <w:rPr>
          <w:rFonts w:cstheme="minorHAnsi"/>
        </w:rPr>
        <w:t>nstitution (BSI)</w:t>
      </w:r>
      <w:r w:rsidRPr="0018054F">
        <w:rPr>
          <w:rFonts w:cstheme="minorHAnsi"/>
        </w:rPr>
        <w:t xml:space="preserve"> and </w:t>
      </w:r>
      <w:proofErr w:type="spellStart"/>
      <w:r w:rsidRPr="0018054F">
        <w:rPr>
          <w:rFonts w:cstheme="minorHAnsi"/>
        </w:rPr>
        <w:t>Cranfield</w:t>
      </w:r>
      <w:proofErr w:type="spellEnd"/>
      <w:r w:rsidRPr="0018054F">
        <w:rPr>
          <w:rFonts w:cstheme="minorHAnsi"/>
        </w:rPr>
        <w:t xml:space="preserve"> University</w:t>
      </w:r>
      <w:r w:rsidR="00EF347C">
        <w:rPr>
          <w:rFonts w:cstheme="minorHAnsi"/>
        </w:rPr>
        <w:t>,</w:t>
      </w:r>
      <w:r w:rsidRPr="0018054F">
        <w:rPr>
          <w:rFonts w:cstheme="minorHAnsi"/>
        </w:rPr>
        <w:t xml:space="preserve"> Organizational Resilience is the “ability of an organization to anticipate, prepare for, respond and adapt to incremental change and sudden disruptions in order to survive and prosper”.</w:t>
      </w:r>
    </w:p>
    <w:p w14:paraId="7A08EBA7" w14:textId="77777777" w:rsidR="00D764C6" w:rsidRPr="0018054F" w:rsidRDefault="00D764C6" w:rsidP="000014D6">
      <w:pPr>
        <w:spacing w:line="240" w:lineRule="auto"/>
        <w:rPr>
          <w:rFonts w:cstheme="minorHAnsi"/>
        </w:rPr>
      </w:pPr>
      <w:r>
        <w:rPr>
          <w:rFonts w:cstheme="minorHAnsi"/>
        </w:rPr>
        <w:t>In an increasingly dynamic, global and interconnected world it is not sufficient for organizations in either the public or private sectors to remain static and stable year-on-year, organizations must change if they are to thrive.</w:t>
      </w:r>
    </w:p>
    <w:p w14:paraId="43456C9D" w14:textId="548961C8" w:rsidR="0018054F" w:rsidRPr="0018054F" w:rsidRDefault="0018054F" w:rsidP="000014D6">
      <w:pPr>
        <w:pStyle w:val="Heading2"/>
      </w:pPr>
      <w:r w:rsidRPr="0018054F">
        <w:t xml:space="preserve">Why is Resilience Important for </w:t>
      </w:r>
      <w:r w:rsidR="00EF347C">
        <w:t>statistical organisations</w:t>
      </w:r>
      <w:r w:rsidRPr="0018054F">
        <w:t>?</w:t>
      </w:r>
    </w:p>
    <w:p w14:paraId="520AE6ED" w14:textId="77777777" w:rsidR="00186EBE" w:rsidRDefault="00186EBE" w:rsidP="001E6DD4">
      <w:pPr>
        <w:spacing w:after="0" w:line="240" w:lineRule="auto"/>
        <w:rPr>
          <w:rFonts w:cstheme="minorHAnsi"/>
        </w:rPr>
      </w:pPr>
    </w:p>
    <w:p w14:paraId="5964A21E" w14:textId="0F127478" w:rsidR="003E1DAD" w:rsidRDefault="0018054F" w:rsidP="000014D6">
      <w:pPr>
        <w:spacing w:line="240" w:lineRule="auto"/>
        <w:rPr>
          <w:rFonts w:cstheme="minorHAnsi"/>
        </w:rPr>
      </w:pPr>
      <w:r w:rsidRPr="0018054F">
        <w:rPr>
          <w:rFonts w:cstheme="minorHAnsi"/>
        </w:rPr>
        <w:t>The world around us is changing fast and as statistical organisations we need to react, to keep pace with changes, to be strong in our decision making, to innovate, and to exceed the changing needs of our customers.</w:t>
      </w:r>
      <w:r w:rsidR="00642F27">
        <w:rPr>
          <w:rFonts w:cstheme="minorHAnsi"/>
        </w:rPr>
        <w:t xml:space="preserve"> Traditionally statistical offices have focused on the publication of </w:t>
      </w:r>
      <w:proofErr w:type="spellStart"/>
      <w:r w:rsidR="00642F27">
        <w:rPr>
          <w:rFonts w:cstheme="minorHAnsi"/>
        </w:rPr>
        <w:t>well respected</w:t>
      </w:r>
      <w:proofErr w:type="spellEnd"/>
      <w:r w:rsidR="00642F27">
        <w:rPr>
          <w:rFonts w:cstheme="minorHAnsi"/>
        </w:rPr>
        <w:t xml:space="preserve"> statistics based on sound</w:t>
      </w:r>
      <w:r w:rsidR="003E1DAD">
        <w:rPr>
          <w:rFonts w:cstheme="minorHAnsi"/>
        </w:rPr>
        <w:t xml:space="preserve"> and well tested methodologies.</w:t>
      </w:r>
    </w:p>
    <w:p w14:paraId="04AC45FF" w14:textId="77777777" w:rsidR="0018054F" w:rsidRPr="0018054F" w:rsidRDefault="00642F27" w:rsidP="000014D6">
      <w:pPr>
        <w:spacing w:line="240" w:lineRule="auto"/>
        <w:rPr>
          <w:rFonts w:cstheme="minorHAnsi"/>
        </w:rPr>
      </w:pPr>
      <w:r>
        <w:rPr>
          <w:rFonts w:cstheme="minorHAnsi"/>
        </w:rPr>
        <w:t>However, is this enough to thrive or even to survive in an increasingly challenging environment?</w:t>
      </w:r>
    </w:p>
    <w:p w14:paraId="60060D18" w14:textId="77777777" w:rsidR="0018054F" w:rsidRPr="0018054F" w:rsidRDefault="0018054F" w:rsidP="000014D6">
      <w:pPr>
        <w:spacing w:line="240" w:lineRule="auto"/>
        <w:rPr>
          <w:rFonts w:cstheme="minorHAnsi"/>
        </w:rPr>
      </w:pPr>
      <w:r w:rsidRPr="0018054F">
        <w:rPr>
          <w:rFonts w:cstheme="minorHAnsi"/>
        </w:rPr>
        <w:t>The information and data revolution means we have more data than we have ever had before and data is becoming more and more essential to the decisions that affect our lives. As statistical organisations this is a great opportunity. We can make use of new and innovative approaches to be the trusted source of insight and information, it is our chance to step up to the plate and provide our users with cutting edge insight.</w:t>
      </w:r>
    </w:p>
    <w:p w14:paraId="63313A2B" w14:textId="77777777" w:rsidR="0018054F" w:rsidRPr="0018054F" w:rsidRDefault="0018054F" w:rsidP="000014D6">
      <w:pPr>
        <w:spacing w:line="240" w:lineRule="auto"/>
        <w:rPr>
          <w:rFonts w:cstheme="minorHAnsi"/>
        </w:rPr>
      </w:pPr>
      <w:r w:rsidRPr="0018054F">
        <w:rPr>
          <w:rFonts w:cstheme="minorHAnsi"/>
        </w:rPr>
        <w:t>It also, however, raises challenges – are we capable to handle large data sets? what does this mean for our existing statistical outputs? how do we remain relevant in the face of mis-information and competition from other organisations producing their own insight into public data sources?</w:t>
      </w:r>
    </w:p>
    <w:p w14:paraId="72916566" w14:textId="207E6FC7" w:rsidR="003E1DAD" w:rsidRDefault="003E1DAD" w:rsidP="000014D6">
      <w:pPr>
        <w:spacing w:line="240" w:lineRule="auto"/>
        <w:rPr>
          <w:rFonts w:cstheme="minorHAnsi"/>
        </w:rPr>
      </w:pPr>
      <w:r>
        <w:rPr>
          <w:rFonts w:cstheme="minorHAnsi"/>
        </w:rPr>
        <w:t xml:space="preserve">We also face increasing competition. This may be from richly resourced private sector organizations seeking to produce statistics, analysis and research on public policy issues. Or it may be from organizations who are seeking the same skills from their people in a competitive recruitment market – and can potentially pay their people more that </w:t>
      </w:r>
      <w:r w:rsidR="00EF347C">
        <w:rPr>
          <w:rFonts w:cstheme="minorHAnsi"/>
        </w:rPr>
        <w:t>Statistical organisations</w:t>
      </w:r>
      <w:r>
        <w:rPr>
          <w:rFonts w:cstheme="minorHAnsi"/>
        </w:rPr>
        <w:t>.</w:t>
      </w:r>
    </w:p>
    <w:p w14:paraId="4EEBFBD4" w14:textId="77777777" w:rsidR="003E1DAD" w:rsidRDefault="0018054F" w:rsidP="000014D6">
      <w:pPr>
        <w:spacing w:line="240" w:lineRule="auto"/>
        <w:rPr>
          <w:rFonts w:cstheme="minorHAnsi"/>
        </w:rPr>
      </w:pPr>
      <w:r w:rsidRPr="0018054F">
        <w:rPr>
          <w:rFonts w:cstheme="minorHAnsi"/>
        </w:rPr>
        <w:t>The volatility of the environment in which we operate means we have to grow our resilience, not only will this ensure continued survival but it will increase our relevance and ensure we can thrive in the face of these challenges.</w:t>
      </w:r>
    </w:p>
    <w:p w14:paraId="4E28E4EF" w14:textId="77777777" w:rsidR="0018054F" w:rsidRPr="0018054F" w:rsidRDefault="008D3F30" w:rsidP="000014D6">
      <w:pPr>
        <w:spacing w:line="240" w:lineRule="auto"/>
        <w:rPr>
          <w:rFonts w:cstheme="minorHAnsi"/>
        </w:rPr>
      </w:pPr>
      <w:r>
        <w:rPr>
          <w:rFonts w:cstheme="minorHAnsi"/>
        </w:rPr>
        <w:t>It is no longer enough just to remain well controlled and robust in the deliver</w:t>
      </w:r>
      <w:r w:rsidR="003E1DAD">
        <w:rPr>
          <w:rFonts w:cstheme="minorHAnsi"/>
        </w:rPr>
        <w:t>y</w:t>
      </w:r>
      <w:r>
        <w:rPr>
          <w:rFonts w:cstheme="minorHAnsi"/>
        </w:rPr>
        <w:t xml:space="preserve"> of traditional statistical products, in order to thrive we must be adaptive and open to change.</w:t>
      </w:r>
    </w:p>
    <w:p w14:paraId="11E37467" w14:textId="77777777" w:rsidR="0018054F" w:rsidRPr="0018054F" w:rsidRDefault="0018054F" w:rsidP="000014D6">
      <w:pPr>
        <w:pStyle w:val="Heading2"/>
      </w:pPr>
      <w:r w:rsidRPr="0018054F">
        <w:t>The Benefits of Resilience</w:t>
      </w:r>
    </w:p>
    <w:p w14:paraId="14E5ED38" w14:textId="77777777" w:rsidR="001E6DD4" w:rsidRDefault="001E6DD4" w:rsidP="006F4198">
      <w:pPr>
        <w:spacing w:after="0" w:line="240" w:lineRule="auto"/>
        <w:rPr>
          <w:rFonts w:cstheme="minorHAnsi"/>
        </w:rPr>
      </w:pPr>
    </w:p>
    <w:p w14:paraId="5DF54325" w14:textId="2DD30EA7" w:rsidR="0018054F" w:rsidRPr="0018054F" w:rsidRDefault="0018054F" w:rsidP="000014D6">
      <w:pPr>
        <w:spacing w:line="240" w:lineRule="auto"/>
        <w:rPr>
          <w:rFonts w:cstheme="minorHAnsi"/>
        </w:rPr>
      </w:pPr>
      <w:r w:rsidRPr="0018054F">
        <w:rPr>
          <w:rFonts w:cstheme="minorHAnsi"/>
        </w:rPr>
        <w:t>The BSI highlights three benefits which are seen in resilient organisations:</w:t>
      </w:r>
    </w:p>
    <w:p w14:paraId="251DD755" w14:textId="77777777" w:rsidR="0018054F" w:rsidRPr="0018054F" w:rsidRDefault="0018054F" w:rsidP="000014D6">
      <w:pPr>
        <w:spacing w:line="240" w:lineRule="auto"/>
        <w:rPr>
          <w:rFonts w:cstheme="minorHAnsi"/>
        </w:rPr>
      </w:pPr>
      <w:r w:rsidRPr="0018054F">
        <w:rPr>
          <w:rFonts w:cstheme="minorHAnsi"/>
          <w:b/>
        </w:rPr>
        <w:t>Strategic adaptability</w:t>
      </w:r>
      <w:r w:rsidRPr="0018054F">
        <w:rPr>
          <w:rFonts w:cstheme="minorHAnsi"/>
        </w:rPr>
        <w:t>: the ability to handle changing circumstance.</w:t>
      </w:r>
    </w:p>
    <w:p w14:paraId="04DA9925" w14:textId="77777777" w:rsidR="0018054F" w:rsidRPr="0018054F" w:rsidRDefault="0018054F" w:rsidP="000014D6">
      <w:pPr>
        <w:spacing w:line="240" w:lineRule="auto"/>
        <w:rPr>
          <w:rFonts w:cstheme="minorHAnsi"/>
        </w:rPr>
      </w:pPr>
      <w:r w:rsidRPr="0018054F">
        <w:rPr>
          <w:rFonts w:cstheme="minorHAnsi"/>
          <w:b/>
        </w:rPr>
        <w:t>Agile leadership</w:t>
      </w:r>
      <w:r w:rsidRPr="0018054F">
        <w:rPr>
          <w:rFonts w:cstheme="minorHAnsi"/>
        </w:rPr>
        <w:t>: taking measured risks with confidence and responding quickly to both opportunities and threats.</w:t>
      </w:r>
    </w:p>
    <w:p w14:paraId="5131DBEF" w14:textId="77777777" w:rsidR="0018054F" w:rsidRPr="0018054F" w:rsidRDefault="0018054F" w:rsidP="000014D6">
      <w:pPr>
        <w:spacing w:line="240" w:lineRule="auto"/>
        <w:rPr>
          <w:rFonts w:cstheme="minorHAnsi"/>
        </w:rPr>
      </w:pPr>
      <w:r w:rsidRPr="0018054F">
        <w:rPr>
          <w:rFonts w:cstheme="minorHAnsi"/>
          <w:b/>
        </w:rPr>
        <w:lastRenderedPageBreak/>
        <w:t>Robust governance</w:t>
      </w:r>
      <w:r w:rsidRPr="0018054F">
        <w:rPr>
          <w:rFonts w:cstheme="minorHAnsi"/>
        </w:rPr>
        <w:t xml:space="preserve">: demonstrating accountability across organisational structures and hierarchies based on a culture of trust transparency, innovation and continual improvement. </w:t>
      </w:r>
    </w:p>
    <w:p w14:paraId="00CF4236" w14:textId="77777777" w:rsidR="0018054F" w:rsidRDefault="0018054F" w:rsidP="000014D6">
      <w:pPr>
        <w:spacing w:line="240" w:lineRule="auto"/>
        <w:rPr>
          <w:rFonts w:cstheme="minorHAnsi"/>
        </w:rPr>
      </w:pPr>
      <w:r w:rsidRPr="0018054F">
        <w:rPr>
          <w:rFonts w:cstheme="minorHAnsi"/>
        </w:rPr>
        <w:t xml:space="preserve">For </w:t>
      </w:r>
      <w:r>
        <w:rPr>
          <w:rFonts w:cstheme="minorHAnsi"/>
        </w:rPr>
        <w:t>statistical organisations,</w:t>
      </w:r>
      <w:r w:rsidRPr="0018054F">
        <w:rPr>
          <w:rFonts w:cstheme="minorHAnsi"/>
        </w:rPr>
        <w:t xml:space="preserve"> it is important to operate in a way which is both robust and adaptive, and to balance these two potentially competing factors. We need to remain robust and ensure high quality products and services, as it is the quality of our products which often sets us apart from our competitors and allow us to provide trusted information for the public good. However, we must also be adaptive to embrace innovation and in-stability where it has the potential to improve our output, without this we will not be resilient to the changing world.</w:t>
      </w:r>
    </w:p>
    <w:p w14:paraId="2A2BB1B0" w14:textId="77B0A77E" w:rsidR="000D1A87" w:rsidRPr="000D1A87" w:rsidRDefault="000014D6" w:rsidP="000014D6">
      <w:pPr>
        <w:pStyle w:val="Heading2"/>
      </w:pPr>
      <w:r>
        <w:t>Proposed f</w:t>
      </w:r>
      <w:r w:rsidR="0018054F" w:rsidRPr="0018054F">
        <w:t xml:space="preserve">uture </w:t>
      </w:r>
      <w:r w:rsidR="000D1A87">
        <w:t>work</w:t>
      </w:r>
    </w:p>
    <w:p w14:paraId="2F7BA0F3" w14:textId="754DD257" w:rsidR="000014D6" w:rsidRDefault="006600CD" w:rsidP="000014D6">
      <w:pPr>
        <w:spacing w:line="240" w:lineRule="auto"/>
      </w:pPr>
      <w:r w:rsidRPr="006600CD">
        <w:t xml:space="preserve">The concept of organizational resilience clearly has resonance for </w:t>
      </w:r>
      <w:r w:rsidR="00EF347C">
        <w:t>Statistical organisations</w:t>
      </w:r>
      <w:r w:rsidRPr="006600CD">
        <w:t xml:space="preserve">. </w:t>
      </w:r>
      <w:r>
        <w:t xml:space="preserve">There is a question therefore of how we can approach the challenge of building resilient organizations. </w:t>
      </w:r>
    </w:p>
    <w:p w14:paraId="0684D064" w14:textId="65157385" w:rsidR="00363F20" w:rsidRDefault="006600CD" w:rsidP="000014D6">
      <w:pPr>
        <w:spacing w:line="240" w:lineRule="auto"/>
      </w:pPr>
      <w:r>
        <w:t xml:space="preserve">The work of the </w:t>
      </w:r>
      <w:r w:rsidR="000014D6">
        <w:t>HLG-MOS</w:t>
      </w:r>
      <w:r>
        <w:t xml:space="preserve"> has often found that </w:t>
      </w:r>
      <w:r w:rsidR="00EF347C">
        <w:t>Statistical organisations</w:t>
      </w:r>
      <w:r>
        <w:t xml:space="preserve"> across the world face many similar challenges but have varying levels of maturity in their approaches to addressing such challenges. In many areas </w:t>
      </w:r>
      <w:r w:rsidR="00EF347C">
        <w:t>Statistical organisations</w:t>
      </w:r>
      <w:r>
        <w:t xml:space="preserve"> have come together to build and share best practice in order to </w:t>
      </w:r>
      <w:r w:rsidR="00317303">
        <w:t xml:space="preserve">understand the maturity pathway. </w:t>
      </w:r>
    </w:p>
    <w:p w14:paraId="365FEE8A" w14:textId="6E4125EA" w:rsidR="00610837" w:rsidRDefault="00363F20" w:rsidP="000014D6">
      <w:pPr>
        <w:spacing w:line="240" w:lineRule="auto"/>
      </w:pPr>
      <w:r>
        <w:t>In addition to the ongoing risk management work, w</w:t>
      </w:r>
      <w:r w:rsidR="00317303">
        <w:t>e are proposing to focus some work on organizational resilience in order to support organizations to develop their understanding and take action.</w:t>
      </w:r>
    </w:p>
    <w:p w14:paraId="54587F96" w14:textId="77777777" w:rsidR="00495360" w:rsidRDefault="00495360" w:rsidP="000014D6">
      <w:pPr>
        <w:spacing w:line="240" w:lineRule="auto"/>
      </w:pPr>
    </w:p>
    <w:tbl>
      <w:tblPr>
        <w:tblStyle w:val="TableGrid"/>
        <w:tblW w:w="0" w:type="auto"/>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7"/>
        <w:gridCol w:w="6803"/>
      </w:tblGrid>
      <w:tr w:rsidR="000014D6" w14:paraId="1746E3E9" w14:textId="77777777" w:rsidTr="00495360">
        <w:tc>
          <w:tcPr>
            <w:tcW w:w="2547" w:type="dxa"/>
          </w:tcPr>
          <w:p w14:paraId="6E25402D" w14:textId="2844D43C" w:rsidR="000014D6" w:rsidRDefault="000014D6" w:rsidP="000014D6">
            <w:r>
              <w:t>Assessing organisational resilience</w:t>
            </w:r>
          </w:p>
        </w:tc>
        <w:tc>
          <w:tcPr>
            <w:tcW w:w="6803" w:type="dxa"/>
          </w:tcPr>
          <w:p w14:paraId="4DC93B77" w14:textId="77777777" w:rsidR="000014D6" w:rsidRDefault="000014D6" w:rsidP="000014D6">
            <w:pPr>
              <w:jc w:val="both"/>
              <w:rPr>
                <w:rFonts w:cstheme="minorHAnsi"/>
              </w:rPr>
            </w:pPr>
            <w:r>
              <w:rPr>
                <w:rFonts w:cstheme="minorHAnsi"/>
              </w:rPr>
              <w:t>We propose to</w:t>
            </w:r>
            <w:r w:rsidRPr="00602F6E">
              <w:rPr>
                <w:rFonts w:cstheme="minorHAnsi"/>
              </w:rPr>
              <w:t xml:space="preserve"> elaborate a model for assessing organisational resilience</w:t>
            </w:r>
            <w:r>
              <w:rPr>
                <w:rFonts w:cstheme="minorHAnsi"/>
              </w:rPr>
              <w:t>, potentially via a maturity model</w:t>
            </w:r>
            <w:r w:rsidRPr="00602F6E">
              <w:rPr>
                <w:rFonts w:cstheme="minorHAnsi"/>
              </w:rPr>
              <w:t xml:space="preserve">. This will provide information on how to assess individual components of the </w:t>
            </w:r>
            <w:proofErr w:type="spellStart"/>
            <w:r w:rsidRPr="00602F6E">
              <w:rPr>
                <w:rFonts w:cstheme="minorHAnsi"/>
              </w:rPr>
              <w:t>organisation’s</w:t>
            </w:r>
            <w:proofErr w:type="spellEnd"/>
            <w:r w:rsidRPr="00602F6E">
              <w:rPr>
                <w:rFonts w:cstheme="minorHAnsi"/>
              </w:rPr>
              <w:t xml:space="preserve"> preparedness towards resilience</w:t>
            </w:r>
            <w:r>
              <w:rPr>
                <w:rFonts w:cstheme="minorHAnsi"/>
              </w:rPr>
              <w:t>, and depending on the outcome of the assessment, the steps which could be taken</w:t>
            </w:r>
            <w:r w:rsidRPr="00602F6E">
              <w:rPr>
                <w:rFonts w:cstheme="minorHAnsi"/>
              </w:rPr>
              <w:t xml:space="preserve">. </w:t>
            </w:r>
          </w:p>
          <w:p w14:paraId="3BFB2590" w14:textId="77777777" w:rsidR="000014D6" w:rsidRDefault="000014D6" w:rsidP="000014D6">
            <w:pPr>
              <w:jc w:val="both"/>
              <w:rPr>
                <w:rFonts w:cstheme="minorHAnsi"/>
              </w:rPr>
            </w:pPr>
          </w:p>
          <w:p w14:paraId="1A5CA46D" w14:textId="77777777" w:rsidR="000014D6" w:rsidRDefault="000014D6" w:rsidP="000014D6">
            <w:pPr>
              <w:jc w:val="both"/>
              <w:rPr>
                <w:rFonts w:cstheme="minorHAnsi"/>
              </w:rPr>
            </w:pPr>
            <w:r w:rsidRPr="00602F6E">
              <w:rPr>
                <w:rFonts w:cstheme="minorHAnsi"/>
              </w:rPr>
              <w:t>Assessment areas could include: Governance &amp; Accountability, Leadership, Adaptive Capacity, Innovation, Business Continuity, and Reputation</w:t>
            </w:r>
            <w:r>
              <w:rPr>
                <w:rFonts w:cstheme="minorHAnsi"/>
              </w:rPr>
              <w:t>.</w:t>
            </w:r>
          </w:p>
          <w:p w14:paraId="261BE5AD" w14:textId="71DBDA8F" w:rsidR="006F4198" w:rsidRPr="000014D6" w:rsidRDefault="006F4198" w:rsidP="000014D6">
            <w:pPr>
              <w:jc w:val="both"/>
              <w:rPr>
                <w:rFonts w:cstheme="minorHAnsi"/>
              </w:rPr>
            </w:pPr>
          </w:p>
        </w:tc>
      </w:tr>
      <w:tr w:rsidR="000014D6" w14:paraId="3B6EDC82" w14:textId="77777777" w:rsidTr="00495360">
        <w:tc>
          <w:tcPr>
            <w:tcW w:w="2547" w:type="dxa"/>
          </w:tcPr>
          <w:p w14:paraId="2CE4A679" w14:textId="77777777" w:rsidR="000014D6" w:rsidRPr="000014D6" w:rsidRDefault="000014D6" w:rsidP="000014D6">
            <w:pPr>
              <w:pStyle w:val="Heading3"/>
              <w:spacing w:before="0"/>
              <w:outlineLvl w:val="2"/>
              <w:rPr>
                <w:rFonts w:asciiTheme="minorHAnsi" w:eastAsiaTheme="minorHAnsi" w:hAnsiTheme="minorHAnsi" w:cstheme="minorBidi"/>
                <w:color w:val="auto"/>
                <w:sz w:val="22"/>
                <w:szCs w:val="22"/>
              </w:rPr>
            </w:pPr>
            <w:r w:rsidRPr="000014D6">
              <w:rPr>
                <w:rFonts w:asciiTheme="minorHAnsi" w:eastAsiaTheme="minorHAnsi" w:hAnsiTheme="minorHAnsi" w:cstheme="minorBidi"/>
                <w:color w:val="auto"/>
                <w:sz w:val="22"/>
                <w:szCs w:val="22"/>
              </w:rPr>
              <w:t>Horizon Scanning and Target Operating Models Design</w:t>
            </w:r>
          </w:p>
          <w:p w14:paraId="15A20EC1" w14:textId="77777777" w:rsidR="000014D6" w:rsidRDefault="000014D6" w:rsidP="000014D6"/>
        </w:tc>
        <w:tc>
          <w:tcPr>
            <w:tcW w:w="6803" w:type="dxa"/>
          </w:tcPr>
          <w:p w14:paraId="760F1E4D" w14:textId="77777777" w:rsidR="000014D6" w:rsidRDefault="000014D6" w:rsidP="000014D6">
            <w:pPr>
              <w:rPr>
                <w:rFonts w:cstheme="minorHAnsi"/>
              </w:rPr>
            </w:pPr>
            <w:r w:rsidRPr="0018054F">
              <w:rPr>
                <w:rFonts w:cstheme="minorHAnsi"/>
              </w:rPr>
              <w:t xml:space="preserve">It is clear that a central pillar of resilience is strategic adaptability that is being able to anticipate and respond to a changing environment by changing the organization. </w:t>
            </w:r>
          </w:p>
          <w:p w14:paraId="55F11AE0" w14:textId="77777777" w:rsidR="000014D6" w:rsidRDefault="000014D6" w:rsidP="000014D6">
            <w:pPr>
              <w:rPr>
                <w:rFonts w:cstheme="minorHAnsi"/>
              </w:rPr>
            </w:pPr>
          </w:p>
          <w:p w14:paraId="25F3AF94" w14:textId="3D0A79D8" w:rsidR="000014D6" w:rsidRDefault="000014D6" w:rsidP="000014D6">
            <w:pPr>
              <w:rPr>
                <w:rFonts w:cstheme="minorHAnsi"/>
              </w:rPr>
            </w:pPr>
            <w:r w:rsidRPr="0018054F">
              <w:rPr>
                <w:rFonts w:cstheme="minorHAnsi"/>
              </w:rPr>
              <w:t xml:space="preserve">In order to support change within </w:t>
            </w:r>
            <w:r>
              <w:rPr>
                <w:rFonts w:cstheme="minorHAnsi"/>
              </w:rPr>
              <w:t xml:space="preserve">statistical organisations </w:t>
            </w:r>
            <w:r w:rsidRPr="0018054F">
              <w:rPr>
                <w:rFonts w:cstheme="minorHAnsi"/>
              </w:rPr>
              <w:t>a number of organisations have developed Target Operating Models</w:t>
            </w:r>
            <w:r>
              <w:rPr>
                <w:rFonts w:cstheme="minorHAnsi"/>
              </w:rPr>
              <w:t xml:space="preserve"> (TOM)</w:t>
            </w:r>
            <w:r w:rsidRPr="0018054F">
              <w:rPr>
                <w:rFonts w:cstheme="minorHAnsi"/>
              </w:rPr>
              <w:t xml:space="preserve">, a vision for how </w:t>
            </w:r>
            <w:r>
              <w:rPr>
                <w:rFonts w:cstheme="minorHAnsi"/>
              </w:rPr>
              <w:t>statistical organisations</w:t>
            </w:r>
            <w:r w:rsidRPr="0018054F">
              <w:rPr>
                <w:rFonts w:cstheme="minorHAnsi"/>
              </w:rPr>
              <w:t xml:space="preserve"> need to operate in the future. These models operate as a guiding framework for changes in people, processes and systems, giving the organization a joined-up view of what modernization seeking to deliver.</w:t>
            </w:r>
            <w:r>
              <w:rPr>
                <w:rFonts w:cstheme="minorHAnsi"/>
              </w:rPr>
              <w:t xml:space="preserve"> </w:t>
            </w:r>
          </w:p>
          <w:p w14:paraId="6C332339" w14:textId="77777777" w:rsidR="000014D6" w:rsidRDefault="000014D6" w:rsidP="000014D6">
            <w:pPr>
              <w:rPr>
                <w:rFonts w:cstheme="minorHAnsi"/>
              </w:rPr>
            </w:pPr>
          </w:p>
          <w:p w14:paraId="051CC2EE" w14:textId="10A38507" w:rsidR="000014D6" w:rsidRPr="000014D6" w:rsidRDefault="000014D6" w:rsidP="000014D6">
            <w:pPr>
              <w:rPr>
                <w:rFonts w:cstheme="minorHAnsi"/>
              </w:rPr>
            </w:pPr>
            <w:r>
              <w:rPr>
                <w:rFonts w:cstheme="minorHAnsi"/>
              </w:rPr>
              <w:t xml:space="preserve">The team aim to collect examples of TOMs from statistical organisations to explore the feasibility of creating guidance on TOMs in statistical organisations. </w:t>
            </w:r>
          </w:p>
        </w:tc>
      </w:tr>
    </w:tbl>
    <w:p w14:paraId="51F79123" w14:textId="77777777" w:rsidR="00610837" w:rsidRDefault="00610837" w:rsidP="000014D6">
      <w:pPr>
        <w:pStyle w:val="Heading3"/>
        <w:spacing w:before="0" w:line="240" w:lineRule="auto"/>
      </w:pPr>
    </w:p>
    <w:p w14:paraId="249F80A0" w14:textId="3286A104" w:rsidR="00317303" w:rsidRPr="006F4198" w:rsidRDefault="000D1A87" w:rsidP="006F4198">
      <w:pPr>
        <w:spacing w:after="0" w:line="240" w:lineRule="auto"/>
        <w:jc w:val="both"/>
        <w:rPr>
          <w:rFonts w:cstheme="minorHAnsi"/>
        </w:rPr>
      </w:pPr>
      <w:r w:rsidRPr="00602F6E">
        <w:rPr>
          <w:rFonts w:cstheme="minorHAnsi"/>
        </w:rPr>
        <w:t> </w:t>
      </w:r>
    </w:p>
    <w:sectPr w:rsidR="00317303" w:rsidRPr="006F4198" w:rsidSect="007D018B">
      <w:pgSz w:w="12240" w:h="15840"/>
      <w:pgMar w:top="1276" w:right="1183" w:bottom="1276" w:left="1276"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C16FEF"/>
    <w:multiLevelType w:val="hybridMultilevel"/>
    <w:tmpl w:val="FEC210BE"/>
    <w:lvl w:ilvl="0" w:tplc="E60AA1D6">
      <w:start w:val="1"/>
      <w:numFmt w:val="lowerRoman"/>
      <w:lvlText w:val="%1."/>
      <w:lvlJc w:val="left"/>
      <w:pPr>
        <w:ind w:left="1425" w:hanging="720"/>
      </w:pPr>
      <w:rPr>
        <w:rFonts w:ascii="Calibri" w:hAnsi="Calibri" w:cs="Calibri" w:hint="default"/>
      </w:rPr>
    </w:lvl>
    <w:lvl w:ilvl="1" w:tplc="04150019" w:tentative="1">
      <w:start w:val="1"/>
      <w:numFmt w:val="lowerLetter"/>
      <w:lvlText w:val="%2."/>
      <w:lvlJc w:val="left"/>
      <w:pPr>
        <w:ind w:left="1785" w:hanging="360"/>
      </w:pPr>
    </w:lvl>
    <w:lvl w:ilvl="2" w:tplc="0415001B" w:tentative="1">
      <w:start w:val="1"/>
      <w:numFmt w:val="lowerRoman"/>
      <w:lvlText w:val="%3."/>
      <w:lvlJc w:val="right"/>
      <w:pPr>
        <w:ind w:left="2505" w:hanging="180"/>
      </w:pPr>
    </w:lvl>
    <w:lvl w:ilvl="3" w:tplc="0415000F" w:tentative="1">
      <w:start w:val="1"/>
      <w:numFmt w:val="decimal"/>
      <w:lvlText w:val="%4."/>
      <w:lvlJc w:val="left"/>
      <w:pPr>
        <w:ind w:left="3225" w:hanging="360"/>
      </w:pPr>
    </w:lvl>
    <w:lvl w:ilvl="4" w:tplc="04150019" w:tentative="1">
      <w:start w:val="1"/>
      <w:numFmt w:val="lowerLetter"/>
      <w:lvlText w:val="%5."/>
      <w:lvlJc w:val="left"/>
      <w:pPr>
        <w:ind w:left="3945" w:hanging="360"/>
      </w:pPr>
    </w:lvl>
    <w:lvl w:ilvl="5" w:tplc="0415001B" w:tentative="1">
      <w:start w:val="1"/>
      <w:numFmt w:val="lowerRoman"/>
      <w:lvlText w:val="%6."/>
      <w:lvlJc w:val="right"/>
      <w:pPr>
        <w:ind w:left="4665" w:hanging="180"/>
      </w:pPr>
    </w:lvl>
    <w:lvl w:ilvl="6" w:tplc="0415000F" w:tentative="1">
      <w:start w:val="1"/>
      <w:numFmt w:val="decimal"/>
      <w:lvlText w:val="%7."/>
      <w:lvlJc w:val="left"/>
      <w:pPr>
        <w:ind w:left="5385" w:hanging="360"/>
      </w:pPr>
    </w:lvl>
    <w:lvl w:ilvl="7" w:tplc="04150019" w:tentative="1">
      <w:start w:val="1"/>
      <w:numFmt w:val="lowerLetter"/>
      <w:lvlText w:val="%8."/>
      <w:lvlJc w:val="left"/>
      <w:pPr>
        <w:ind w:left="6105" w:hanging="360"/>
      </w:pPr>
    </w:lvl>
    <w:lvl w:ilvl="8" w:tplc="0415001B" w:tentative="1">
      <w:start w:val="1"/>
      <w:numFmt w:val="lowerRoman"/>
      <w:lvlText w:val="%9."/>
      <w:lvlJc w:val="right"/>
      <w:pPr>
        <w:ind w:left="6825"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054F"/>
    <w:rsid w:val="000014D6"/>
    <w:rsid w:val="000D1A87"/>
    <w:rsid w:val="000D2A58"/>
    <w:rsid w:val="000F52AF"/>
    <w:rsid w:val="0018054F"/>
    <w:rsid w:val="00186EBE"/>
    <w:rsid w:val="001E6DD4"/>
    <w:rsid w:val="002242E2"/>
    <w:rsid w:val="00317303"/>
    <w:rsid w:val="0036135E"/>
    <w:rsid w:val="00363F20"/>
    <w:rsid w:val="003E1DAD"/>
    <w:rsid w:val="00495360"/>
    <w:rsid w:val="00602F6E"/>
    <w:rsid w:val="00610837"/>
    <w:rsid w:val="00642F27"/>
    <w:rsid w:val="006600CD"/>
    <w:rsid w:val="006F4198"/>
    <w:rsid w:val="007D018B"/>
    <w:rsid w:val="008B5731"/>
    <w:rsid w:val="008D3F30"/>
    <w:rsid w:val="00AB61F4"/>
    <w:rsid w:val="00CC2C56"/>
    <w:rsid w:val="00CE67C0"/>
    <w:rsid w:val="00D001A4"/>
    <w:rsid w:val="00D764C6"/>
    <w:rsid w:val="00E372A3"/>
    <w:rsid w:val="00EF347C"/>
    <w:rsid w:val="00F873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566B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014D6"/>
    <w:pPr>
      <w:keepNext/>
      <w:keepLines/>
      <w:spacing w:after="0" w:line="240" w:lineRule="auto"/>
      <w:jc w:val="center"/>
      <w:outlineLvl w:val="0"/>
    </w:pPr>
    <w:rPr>
      <w:rFonts w:eastAsiaTheme="majorEastAsia" w:cstheme="minorHAnsi"/>
      <w:color w:val="2E74B5" w:themeColor="accent1" w:themeShade="BF"/>
      <w:sz w:val="28"/>
      <w:szCs w:val="28"/>
    </w:rPr>
  </w:style>
  <w:style w:type="paragraph" w:styleId="Heading2">
    <w:name w:val="heading 2"/>
    <w:basedOn w:val="Normal"/>
    <w:next w:val="Normal"/>
    <w:link w:val="Heading2Char"/>
    <w:uiPriority w:val="9"/>
    <w:unhideWhenUsed/>
    <w:qFormat/>
    <w:rsid w:val="000014D6"/>
    <w:pPr>
      <w:keepNext/>
      <w:keepLines/>
      <w:spacing w:after="0" w:line="240" w:lineRule="auto"/>
      <w:outlineLvl w:val="1"/>
    </w:pPr>
    <w:rPr>
      <w:rFonts w:eastAsiaTheme="majorEastAsia" w:cstheme="minorHAnsi"/>
      <w:color w:val="2E74B5" w:themeColor="accent1" w:themeShade="BF"/>
      <w:sz w:val="24"/>
      <w:szCs w:val="24"/>
    </w:rPr>
  </w:style>
  <w:style w:type="paragraph" w:styleId="Heading3">
    <w:name w:val="heading 3"/>
    <w:basedOn w:val="Normal"/>
    <w:next w:val="Normal"/>
    <w:link w:val="Heading3Char"/>
    <w:uiPriority w:val="9"/>
    <w:unhideWhenUsed/>
    <w:qFormat/>
    <w:rsid w:val="000D1A8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8054F"/>
    <w:pPr>
      <w:spacing w:after="200" w:line="276" w:lineRule="auto"/>
      <w:ind w:left="720"/>
      <w:contextualSpacing/>
    </w:pPr>
    <w:rPr>
      <w:lang w:val="pl-PL"/>
    </w:rPr>
  </w:style>
  <w:style w:type="character" w:customStyle="1" w:styleId="Heading2Char">
    <w:name w:val="Heading 2 Char"/>
    <w:basedOn w:val="DefaultParagraphFont"/>
    <w:link w:val="Heading2"/>
    <w:uiPriority w:val="9"/>
    <w:rsid w:val="000014D6"/>
    <w:rPr>
      <w:rFonts w:eastAsiaTheme="majorEastAsia" w:cstheme="minorHAnsi"/>
      <w:color w:val="2E74B5" w:themeColor="accent1" w:themeShade="BF"/>
      <w:sz w:val="24"/>
      <w:szCs w:val="24"/>
    </w:rPr>
  </w:style>
  <w:style w:type="character" w:customStyle="1" w:styleId="Heading1Char">
    <w:name w:val="Heading 1 Char"/>
    <w:basedOn w:val="DefaultParagraphFont"/>
    <w:link w:val="Heading1"/>
    <w:uiPriority w:val="9"/>
    <w:rsid w:val="000014D6"/>
    <w:rPr>
      <w:rFonts w:eastAsiaTheme="majorEastAsia" w:cstheme="minorHAnsi"/>
      <w:color w:val="2E74B5" w:themeColor="accent1" w:themeShade="BF"/>
      <w:sz w:val="28"/>
      <w:szCs w:val="28"/>
    </w:rPr>
  </w:style>
  <w:style w:type="character" w:customStyle="1" w:styleId="Heading3Char">
    <w:name w:val="Heading 3 Char"/>
    <w:basedOn w:val="DefaultParagraphFont"/>
    <w:link w:val="Heading3"/>
    <w:uiPriority w:val="9"/>
    <w:rsid w:val="000D1A87"/>
    <w:rPr>
      <w:rFonts w:asciiTheme="majorHAnsi" w:eastAsiaTheme="majorEastAsia" w:hAnsiTheme="majorHAnsi" w:cstheme="majorBidi"/>
      <w:color w:val="1F4D78" w:themeColor="accent1" w:themeShade="7F"/>
      <w:sz w:val="24"/>
      <w:szCs w:val="24"/>
    </w:rPr>
  </w:style>
  <w:style w:type="table" w:styleId="TableGrid">
    <w:name w:val="Table Grid"/>
    <w:basedOn w:val="TableNormal"/>
    <w:uiPriority w:val="39"/>
    <w:rsid w:val="000014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014D6"/>
    <w:pPr>
      <w:keepNext/>
      <w:keepLines/>
      <w:spacing w:after="0" w:line="240" w:lineRule="auto"/>
      <w:jc w:val="center"/>
      <w:outlineLvl w:val="0"/>
    </w:pPr>
    <w:rPr>
      <w:rFonts w:eastAsiaTheme="majorEastAsia" w:cstheme="minorHAnsi"/>
      <w:color w:val="2E74B5" w:themeColor="accent1" w:themeShade="BF"/>
      <w:sz w:val="28"/>
      <w:szCs w:val="28"/>
    </w:rPr>
  </w:style>
  <w:style w:type="paragraph" w:styleId="Heading2">
    <w:name w:val="heading 2"/>
    <w:basedOn w:val="Normal"/>
    <w:next w:val="Normal"/>
    <w:link w:val="Heading2Char"/>
    <w:uiPriority w:val="9"/>
    <w:unhideWhenUsed/>
    <w:qFormat/>
    <w:rsid w:val="000014D6"/>
    <w:pPr>
      <w:keepNext/>
      <w:keepLines/>
      <w:spacing w:after="0" w:line="240" w:lineRule="auto"/>
      <w:outlineLvl w:val="1"/>
    </w:pPr>
    <w:rPr>
      <w:rFonts w:eastAsiaTheme="majorEastAsia" w:cstheme="minorHAnsi"/>
      <w:color w:val="2E74B5" w:themeColor="accent1" w:themeShade="BF"/>
      <w:sz w:val="24"/>
      <w:szCs w:val="24"/>
    </w:rPr>
  </w:style>
  <w:style w:type="paragraph" w:styleId="Heading3">
    <w:name w:val="heading 3"/>
    <w:basedOn w:val="Normal"/>
    <w:next w:val="Normal"/>
    <w:link w:val="Heading3Char"/>
    <w:uiPriority w:val="9"/>
    <w:unhideWhenUsed/>
    <w:qFormat/>
    <w:rsid w:val="000D1A8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8054F"/>
    <w:pPr>
      <w:spacing w:after="200" w:line="276" w:lineRule="auto"/>
      <w:ind w:left="720"/>
      <w:contextualSpacing/>
    </w:pPr>
    <w:rPr>
      <w:lang w:val="pl-PL"/>
    </w:rPr>
  </w:style>
  <w:style w:type="character" w:customStyle="1" w:styleId="Heading2Char">
    <w:name w:val="Heading 2 Char"/>
    <w:basedOn w:val="DefaultParagraphFont"/>
    <w:link w:val="Heading2"/>
    <w:uiPriority w:val="9"/>
    <w:rsid w:val="000014D6"/>
    <w:rPr>
      <w:rFonts w:eastAsiaTheme="majorEastAsia" w:cstheme="minorHAnsi"/>
      <w:color w:val="2E74B5" w:themeColor="accent1" w:themeShade="BF"/>
      <w:sz w:val="24"/>
      <w:szCs w:val="24"/>
    </w:rPr>
  </w:style>
  <w:style w:type="character" w:customStyle="1" w:styleId="Heading1Char">
    <w:name w:val="Heading 1 Char"/>
    <w:basedOn w:val="DefaultParagraphFont"/>
    <w:link w:val="Heading1"/>
    <w:uiPriority w:val="9"/>
    <w:rsid w:val="000014D6"/>
    <w:rPr>
      <w:rFonts w:eastAsiaTheme="majorEastAsia" w:cstheme="minorHAnsi"/>
      <w:color w:val="2E74B5" w:themeColor="accent1" w:themeShade="BF"/>
      <w:sz w:val="28"/>
      <w:szCs w:val="28"/>
    </w:rPr>
  </w:style>
  <w:style w:type="character" w:customStyle="1" w:styleId="Heading3Char">
    <w:name w:val="Heading 3 Char"/>
    <w:basedOn w:val="DefaultParagraphFont"/>
    <w:link w:val="Heading3"/>
    <w:uiPriority w:val="9"/>
    <w:rsid w:val="000D1A87"/>
    <w:rPr>
      <w:rFonts w:asciiTheme="majorHAnsi" w:eastAsiaTheme="majorEastAsia" w:hAnsiTheme="majorHAnsi" w:cstheme="majorBidi"/>
      <w:color w:val="1F4D78" w:themeColor="accent1" w:themeShade="7F"/>
      <w:sz w:val="24"/>
      <w:szCs w:val="24"/>
    </w:rPr>
  </w:style>
  <w:style w:type="table" w:styleId="TableGrid">
    <w:name w:val="Table Grid"/>
    <w:basedOn w:val="TableNormal"/>
    <w:uiPriority w:val="39"/>
    <w:rsid w:val="000014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871</Words>
  <Characters>4969</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UNECE</Company>
  <LinksUpToDate>false</LinksUpToDate>
  <CharactersWithSpaces>5829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Therese Lalor</dc:creator>
  <cp:lastModifiedBy>Tetyana Kolomiyets</cp:lastModifiedBy>
  <cp:revision>2</cp:revision>
  <dcterms:created xsi:type="dcterms:W3CDTF">2018-10-09T09:01:00Z</dcterms:created>
  <dcterms:modified xsi:type="dcterms:W3CDTF">2018-10-09T09:01:00Z</dcterms:modified>
</cp:coreProperties>
</file>