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68FA" w:rsidRPr="00A86BDC" w:rsidRDefault="00A86BDC" w:rsidP="00A86BDC">
      <w:pPr>
        <w:pStyle w:val="HChG"/>
        <w:adjustRightInd w:val="0"/>
        <w:snapToGrid w:val="0"/>
        <w:ind w:left="0" w:right="0" w:firstLine="0"/>
        <w:rPr>
          <w:sz w:val="32"/>
          <w:szCs w:val="22"/>
        </w:rPr>
      </w:pPr>
      <w:r>
        <w:tab/>
      </w:r>
      <w:r w:rsidR="006F116C" w:rsidRPr="00A86BDC">
        <w:rPr>
          <w:sz w:val="32"/>
          <w:szCs w:val="22"/>
        </w:rPr>
        <w:t xml:space="preserve">UNECE </w:t>
      </w:r>
      <w:r w:rsidR="00127018" w:rsidRPr="00A86BDC">
        <w:rPr>
          <w:sz w:val="32"/>
          <w:szCs w:val="22"/>
        </w:rPr>
        <w:t>S</w:t>
      </w:r>
      <w:r w:rsidR="006F116C" w:rsidRPr="00A86BDC">
        <w:rPr>
          <w:sz w:val="32"/>
          <w:szCs w:val="22"/>
        </w:rPr>
        <w:t>tatistical capacity development strategy</w:t>
      </w:r>
    </w:p>
    <w:p w:rsidR="00287CCE" w:rsidRPr="00A86BDC" w:rsidRDefault="00E71C20" w:rsidP="00A86BDC">
      <w:pPr>
        <w:pStyle w:val="H1G"/>
        <w:adjustRightInd w:val="0"/>
        <w:snapToGrid w:val="0"/>
        <w:ind w:left="0" w:right="0" w:firstLine="0"/>
        <w:rPr>
          <w:sz w:val="28"/>
          <w:szCs w:val="22"/>
        </w:rPr>
      </w:pPr>
      <w:r w:rsidRPr="00A86BDC">
        <w:rPr>
          <w:sz w:val="28"/>
          <w:szCs w:val="22"/>
        </w:rPr>
        <w:t>I.</w:t>
      </w:r>
      <w:r w:rsidR="00A86BDC" w:rsidRPr="00A86BDC">
        <w:rPr>
          <w:sz w:val="28"/>
          <w:szCs w:val="22"/>
        </w:rPr>
        <w:tab/>
        <w:t xml:space="preserve">       </w:t>
      </w:r>
      <w:r w:rsidR="006F116C" w:rsidRPr="00A86BDC">
        <w:rPr>
          <w:sz w:val="28"/>
          <w:szCs w:val="22"/>
        </w:rPr>
        <w:t>Introduction</w:t>
      </w:r>
    </w:p>
    <w:p w:rsidR="00910BF7" w:rsidRPr="00C04BEB" w:rsidRDefault="00910BF7" w:rsidP="00A86BDC">
      <w:pPr>
        <w:pStyle w:val="SingleTxtG"/>
        <w:numPr>
          <w:ilvl w:val="0"/>
          <w:numId w:val="27"/>
        </w:numPr>
        <w:adjustRightInd w:val="0"/>
        <w:snapToGrid w:val="0"/>
        <w:ind w:left="0" w:right="0" w:firstLine="0"/>
      </w:pPr>
      <w:r>
        <w:rPr>
          <w:lang w:eastAsia="et-EE"/>
        </w:rPr>
        <w:t xml:space="preserve">At its meetings in </w:t>
      </w:r>
      <w:r w:rsidR="00A207D4">
        <w:rPr>
          <w:lang w:eastAsia="et-EE"/>
        </w:rPr>
        <w:t xml:space="preserve">in </w:t>
      </w:r>
      <w:r w:rsidR="00A207D4" w:rsidRPr="00C04BEB">
        <w:rPr>
          <w:lang w:eastAsia="et-EE"/>
        </w:rPr>
        <w:t>October 201</w:t>
      </w:r>
      <w:r w:rsidR="00A207D4">
        <w:rPr>
          <w:lang w:eastAsia="et-EE"/>
        </w:rPr>
        <w:t xml:space="preserve">7 </w:t>
      </w:r>
      <w:r w:rsidR="00A207D4" w:rsidRPr="00C04BEB">
        <w:rPr>
          <w:lang w:eastAsia="et-EE"/>
        </w:rPr>
        <w:t>and February</w:t>
      </w:r>
      <w:r w:rsidR="00A207D4">
        <w:rPr>
          <w:lang w:eastAsia="et-EE"/>
        </w:rPr>
        <w:t xml:space="preserve"> 2018</w:t>
      </w:r>
      <w:r w:rsidRPr="00C04BEB">
        <w:rPr>
          <w:lang w:eastAsia="et-EE"/>
        </w:rPr>
        <w:t xml:space="preserve">, the Bureau </w:t>
      </w:r>
      <w:r>
        <w:rPr>
          <w:lang w:eastAsia="et-EE"/>
        </w:rPr>
        <w:t xml:space="preserve">of the Conference of European Statisticians (CES) </w:t>
      </w:r>
      <w:r w:rsidRPr="00C04BEB">
        <w:rPr>
          <w:lang w:eastAsia="et-EE"/>
        </w:rPr>
        <w:t>strongly supported proposals t</w:t>
      </w:r>
      <w:r>
        <w:rPr>
          <w:lang w:eastAsia="et-EE"/>
        </w:rPr>
        <w:t>hat the UNECE Secretariat should</w:t>
      </w:r>
      <w:r w:rsidRPr="00C04BEB">
        <w:rPr>
          <w:lang w:eastAsia="et-EE"/>
        </w:rPr>
        <w:t xml:space="preserve"> continue </w:t>
      </w:r>
      <w:r>
        <w:rPr>
          <w:lang w:eastAsia="et-EE"/>
        </w:rPr>
        <w:t xml:space="preserve">to develop and implement statistical </w:t>
      </w:r>
      <w:r w:rsidRPr="00C04BEB">
        <w:rPr>
          <w:lang w:eastAsia="et-EE"/>
        </w:rPr>
        <w:t xml:space="preserve">capacity </w:t>
      </w:r>
      <w:r>
        <w:rPr>
          <w:lang w:eastAsia="et-EE"/>
        </w:rPr>
        <w:t>development</w:t>
      </w:r>
      <w:r w:rsidRPr="00C04BEB">
        <w:rPr>
          <w:lang w:eastAsia="et-EE"/>
        </w:rPr>
        <w:t xml:space="preserve"> activities to respond to new </w:t>
      </w:r>
      <w:r>
        <w:rPr>
          <w:lang w:eastAsia="et-EE"/>
        </w:rPr>
        <w:t xml:space="preserve">initiatives </w:t>
      </w:r>
      <w:r w:rsidRPr="00C04BEB">
        <w:rPr>
          <w:lang w:eastAsia="et-EE"/>
        </w:rPr>
        <w:t xml:space="preserve">at </w:t>
      </w:r>
      <w:r>
        <w:rPr>
          <w:lang w:eastAsia="et-EE"/>
        </w:rPr>
        <w:t xml:space="preserve">the </w:t>
      </w:r>
      <w:r w:rsidRPr="00C04BEB">
        <w:rPr>
          <w:lang w:eastAsia="et-EE"/>
        </w:rPr>
        <w:t>global level</w:t>
      </w:r>
      <w:r>
        <w:rPr>
          <w:lang w:eastAsia="et-EE"/>
        </w:rPr>
        <w:t>. These initiatives include statistics for the Sustainable Development Goals (</w:t>
      </w:r>
      <w:r w:rsidRPr="00C04BEB">
        <w:rPr>
          <w:lang w:eastAsia="et-EE"/>
        </w:rPr>
        <w:t>SDGs</w:t>
      </w:r>
      <w:r>
        <w:rPr>
          <w:lang w:eastAsia="et-EE"/>
        </w:rPr>
        <w:t>)</w:t>
      </w:r>
      <w:r w:rsidRPr="00C04BEB">
        <w:rPr>
          <w:lang w:eastAsia="et-EE"/>
        </w:rPr>
        <w:t xml:space="preserve">, </w:t>
      </w:r>
      <w:r>
        <w:rPr>
          <w:lang w:eastAsia="et-EE"/>
        </w:rPr>
        <w:t xml:space="preserve">the increased use of </w:t>
      </w:r>
      <w:r w:rsidRPr="00C04BEB">
        <w:rPr>
          <w:lang w:eastAsia="et-EE"/>
        </w:rPr>
        <w:t>geospatial information</w:t>
      </w:r>
      <w:r>
        <w:rPr>
          <w:lang w:eastAsia="et-EE"/>
        </w:rPr>
        <w:t>,</w:t>
      </w:r>
      <w:r w:rsidRPr="00C04BEB">
        <w:rPr>
          <w:lang w:eastAsia="et-EE"/>
        </w:rPr>
        <w:t xml:space="preserve"> and </w:t>
      </w:r>
      <w:r>
        <w:rPr>
          <w:lang w:eastAsia="et-EE"/>
        </w:rPr>
        <w:t xml:space="preserve">the </w:t>
      </w:r>
      <w:r w:rsidRPr="00C04BEB">
        <w:rPr>
          <w:lang w:eastAsia="et-EE"/>
        </w:rPr>
        <w:t>moderni</w:t>
      </w:r>
      <w:r>
        <w:rPr>
          <w:lang w:eastAsia="et-EE"/>
        </w:rPr>
        <w:t>s</w:t>
      </w:r>
      <w:r w:rsidRPr="00C04BEB">
        <w:rPr>
          <w:lang w:eastAsia="et-EE"/>
        </w:rPr>
        <w:t>ation</w:t>
      </w:r>
      <w:r>
        <w:rPr>
          <w:lang w:eastAsia="et-EE"/>
        </w:rPr>
        <w:t xml:space="preserve"> of official statistics</w:t>
      </w:r>
      <w:r w:rsidRPr="00C04BEB">
        <w:rPr>
          <w:lang w:eastAsia="et-EE"/>
        </w:rPr>
        <w:t>.</w:t>
      </w:r>
      <w:r w:rsidRPr="00F5417B">
        <w:rPr>
          <w:lang w:eastAsia="et-EE"/>
        </w:rPr>
        <w:t xml:space="preserve"> </w:t>
      </w:r>
      <w:r>
        <w:rPr>
          <w:lang w:eastAsia="et-EE"/>
        </w:rPr>
        <w:t>In addition, t</w:t>
      </w:r>
      <w:r w:rsidRPr="00C04BEB">
        <w:rPr>
          <w:lang w:eastAsia="et-EE"/>
        </w:rPr>
        <w:t xml:space="preserve">he </w:t>
      </w:r>
      <w:r>
        <w:rPr>
          <w:lang w:eastAsia="et-EE"/>
        </w:rPr>
        <w:t xml:space="preserve">UNECE </w:t>
      </w:r>
      <w:r w:rsidRPr="00C04BEB">
        <w:rPr>
          <w:lang w:eastAsia="et-EE"/>
        </w:rPr>
        <w:t>Expert Meeting on Statistics for SDGs in April 2017 emphasised that all countries require improvement of their statistical capa</w:t>
      </w:r>
      <w:r>
        <w:rPr>
          <w:lang w:eastAsia="et-EE"/>
        </w:rPr>
        <w:t>cities</w:t>
      </w:r>
      <w:r w:rsidRPr="00C04BEB">
        <w:rPr>
          <w:lang w:eastAsia="et-EE"/>
        </w:rPr>
        <w:t xml:space="preserve"> in the context of measuring SDGs.</w:t>
      </w:r>
    </w:p>
    <w:p w:rsidR="00910BF7" w:rsidRPr="00092DD6" w:rsidRDefault="00910BF7" w:rsidP="00A86BDC">
      <w:pPr>
        <w:pStyle w:val="SingleTxtG"/>
        <w:numPr>
          <w:ilvl w:val="0"/>
          <w:numId w:val="27"/>
        </w:numPr>
        <w:adjustRightInd w:val="0"/>
        <w:snapToGrid w:val="0"/>
        <w:ind w:left="0" w:right="0" w:firstLine="0"/>
        <w:rPr>
          <w:lang w:eastAsia="en-GB"/>
        </w:rPr>
      </w:pPr>
      <w:r w:rsidRPr="00460524">
        <w:t xml:space="preserve">PARIS21 (the Partnership in Statistics for Development in the 21st Century), </w:t>
      </w:r>
      <w:r>
        <w:t xml:space="preserve">which is hosted by </w:t>
      </w:r>
      <w:r w:rsidRPr="00460524">
        <w:t xml:space="preserve">OECD, has convened a group of experts from national and international statistical organisations to </w:t>
      </w:r>
      <w:r>
        <w:t>review the approach to statistical capacity development at the</w:t>
      </w:r>
      <w:r w:rsidRPr="00460524">
        <w:t xml:space="preserve"> global level</w:t>
      </w:r>
      <w:r>
        <w:t xml:space="preserve">, </w:t>
      </w:r>
      <w:r w:rsidRPr="00460524">
        <w:t>based on the discussion paper “Realising the Data Revolution for Sustainable Development: Towards Capacity Development 4.0</w:t>
      </w:r>
      <w:r w:rsidRPr="0055685C">
        <w:rPr>
          <w:rStyle w:val="FootnoteReference"/>
          <w:sz w:val="20"/>
          <w:szCs w:val="24"/>
        </w:rPr>
        <w:footnoteReference w:id="1"/>
      </w:r>
      <w:r w:rsidRPr="00460524">
        <w:t>”. UNECE actively participates in this group</w:t>
      </w:r>
      <w:r>
        <w:t xml:space="preserve">, and has benefitted from the exchange of ideas. The UNECE strategy is in line with the conceptual framework </w:t>
      </w:r>
      <w:r w:rsidR="003F622A">
        <w:t>d</w:t>
      </w:r>
      <w:r>
        <w:t xml:space="preserve">eveloped </w:t>
      </w:r>
      <w:r w:rsidRPr="00092DD6">
        <w:t xml:space="preserve">by this group, and can be seen as a means of implementing it in the UNECE region. </w:t>
      </w:r>
    </w:p>
    <w:p w:rsidR="00910BF7" w:rsidRPr="00092DD6" w:rsidRDefault="00910BF7" w:rsidP="00A86BDC">
      <w:pPr>
        <w:pStyle w:val="SingleTxtG"/>
        <w:numPr>
          <w:ilvl w:val="0"/>
          <w:numId w:val="27"/>
        </w:numPr>
        <w:adjustRightInd w:val="0"/>
        <w:snapToGrid w:val="0"/>
        <w:ind w:left="0" w:right="0" w:firstLine="0"/>
        <w:rPr>
          <w:lang w:eastAsia="en-GB"/>
        </w:rPr>
      </w:pPr>
      <w:r w:rsidRPr="00092DD6">
        <w:rPr>
          <w:lang w:eastAsia="en-GB"/>
        </w:rPr>
        <w:t>In pursuing its programme of work in the region, UNECE closely collaborates with other important stakeholders to complement activities, find synergies and avoid overlap</w:t>
      </w:r>
      <w:r>
        <w:rPr>
          <w:lang w:eastAsia="en-GB"/>
        </w:rPr>
        <w:t>, particularly Eurostat and the European Free Trade Association (EFTA)</w:t>
      </w:r>
      <w:r w:rsidRPr="00092DD6">
        <w:rPr>
          <w:lang w:eastAsia="en-GB"/>
        </w:rPr>
        <w:t xml:space="preserve">. </w:t>
      </w:r>
      <w:r>
        <w:rPr>
          <w:lang w:eastAsia="en-GB"/>
        </w:rPr>
        <w:t xml:space="preserve">Eurostat is an </w:t>
      </w:r>
      <w:r w:rsidRPr="00092DD6">
        <w:rPr>
          <w:lang w:eastAsia="en-GB"/>
        </w:rPr>
        <w:t xml:space="preserve">important actor, present in the region in the context of the European Commission's Enlargement and Neighbourhood Policies </w:t>
      </w:r>
      <w:r>
        <w:rPr>
          <w:lang w:eastAsia="en-GB"/>
        </w:rPr>
        <w:t xml:space="preserve">(ENPs) </w:t>
      </w:r>
      <w:r w:rsidRPr="00092DD6">
        <w:rPr>
          <w:lang w:eastAsia="en-GB"/>
        </w:rPr>
        <w:t xml:space="preserve">and respective priorities. Eurostat is currently preparing a regional statistics programme (Statistics for the Eastern Partnership), for implementation to start in late 2018/early 2019. The programme, financed from the EU's external action budget, will support the development of official statistics in the six countries of the ENP East (Ukraine, Belarus, </w:t>
      </w:r>
      <w:r w:rsidR="00AC15B1">
        <w:rPr>
          <w:lang w:eastAsia="en-GB"/>
        </w:rPr>
        <w:t xml:space="preserve">Republic of </w:t>
      </w:r>
      <w:r w:rsidRPr="00092DD6">
        <w:rPr>
          <w:lang w:eastAsia="en-GB"/>
        </w:rPr>
        <w:t>Moldova, Georgia, Armenia and Azerbaijan.) In addition, Eurostat supports statistic</w:t>
      </w:r>
      <w:r>
        <w:rPr>
          <w:lang w:eastAsia="en-GB"/>
        </w:rPr>
        <w:t>al</w:t>
      </w:r>
      <w:r w:rsidRPr="00092DD6">
        <w:rPr>
          <w:lang w:eastAsia="en-GB"/>
        </w:rPr>
        <w:t xml:space="preserve"> activities from the European Statistical Programme, for example</w:t>
      </w:r>
      <w:r>
        <w:rPr>
          <w:lang w:eastAsia="en-GB"/>
        </w:rPr>
        <w:t xml:space="preserve">, </w:t>
      </w:r>
      <w:r w:rsidRPr="00092DD6">
        <w:rPr>
          <w:lang w:eastAsia="en-GB"/>
        </w:rPr>
        <w:t>training as well as the organisation of statistical workshops and high level seminars. These cover mainly the ENP East region but also the participation of statisticians from Central Asia.</w:t>
      </w:r>
    </w:p>
    <w:p w:rsidR="00910BF7" w:rsidRDefault="00910BF7" w:rsidP="00A86BDC">
      <w:pPr>
        <w:pStyle w:val="SingleTxtG"/>
        <w:numPr>
          <w:ilvl w:val="0"/>
          <w:numId w:val="27"/>
        </w:numPr>
        <w:adjustRightInd w:val="0"/>
        <w:snapToGrid w:val="0"/>
        <w:ind w:left="0" w:right="0" w:firstLine="0"/>
        <w:rPr>
          <w:lang w:eastAsia="en-GB"/>
        </w:rPr>
      </w:pPr>
      <w:r w:rsidRPr="00092DD6">
        <w:rPr>
          <w:lang w:eastAsia="en-GB"/>
        </w:rPr>
        <w:t xml:space="preserve">Eurostat </w:t>
      </w:r>
      <w:r>
        <w:rPr>
          <w:lang w:eastAsia="en-GB"/>
        </w:rPr>
        <w:t xml:space="preserve">also </w:t>
      </w:r>
      <w:r w:rsidRPr="00092DD6">
        <w:rPr>
          <w:lang w:eastAsia="en-GB"/>
        </w:rPr>
        <w:t xml:space="preserve">supports the countries that have a perspective of accession to the EU (EU enlargement countries) </w:t>
      </w:r>
      <w:r>
        <w:rPr>
          <w:lang w:eastAsia="en-GB"/>
        </w:rPr>
        <w:t>in</w:t>
      </w:r>
      <w:r w:rsidRPr="00092DD6">
        <w:rPr>
          <w:lang w:eastAsia="en-GB"/>
        </w:rPr>
        <w:t xml:space="preserve"> their preparation</w:t>
      </w:r>
      <w:r>
        <w:rPr>
          <w:lang w:eastAsia="en-GB"/>
        </w:rPr>
        <w:t>s</w:t>
      </w:r>
      <w:r w:rsidRPr="00092DD6">
        <w:rPr>
          <w:lang w:eastAsia="en-GB"/>
        </w:rPr>
        <w:t xml:space="preserve"> </w:t>
      </w:r>
      <w:r>
        <w:rPr>
          <w:lang w:eastAsia="en-GB"/>
        </w:rPr>
        <w:t>for</w:t>
      </w:r>
      <w:r w:rsidRPr="00092DD6">
        <w:rPr>
          <w:lang w:eastAsia="en-GB"/>
        </w:rPr>
        <w:t xml:space="preserve"> membership of the EU</w:t>
      </w:r>
      <w:r>
        <w:rPr>
          <w:lang w:eastAsia="en-GB"/>
        </w:rPr>
        <w:t>,</w:t>
      </w:r>
      <w:r w:rsidRPr="00092DD6">
        <w:rPr>
          <w:lang w:eastAsia="en-GB"/>
        </w:rPr>
        <w:t xml:space="preserve"> by providing technical assistance focus</w:t>
      </w:r>
      <w:r>
        <w:rPr>
          <w:lang w:eastAsia="en-GB"/>
        </w:rPr>
        <w:t>ed</w:t>
      </w:r>
      <w:r w:rsidRPr="00092DD6">
        <w:rPr>
          <w:lang w:eastAsia="en-GB"/>
        </w:rPr>
        <w:t xml:space="preserve"> on </w:t>
      </w:r>
      <w:r>
        <w:rPr>
          <w:lang w:eastAsia="en-GB"/>
        </w:rPr>
        <w:t xml:space="preserve">the </w:t>
      </w:r>
      <w:r w:rsidRPr="00092DD6">
        <w:rPr>
          <w:lang w:eastAsia="en-GB"/>
        </w:rPr>
        <w:t>development of all statistical areas that are part of the EU legal requirements</w:t>
      </w:r>
      <w:r>
        <w:rPr>
          <w:lang w:eastAsia="en-GB"/>
        </w:rPr>
        <w:t>. This includes</w:t>
      </w:r>
      <w:r w:rsidRPr="00092DD6">
        <w:rPr>
          <w:lang w:eastAsia="en-GB"/>
        </w:rPr>
        <w:t xml:space="preserve"> assessing their compliance with EU standards in statistics and with the European statistics Code of Practice, as well as being involved in the accession negotiations in the part of the future accession treaty that relates to statistics. The means for the statistical cooperation programmes come mainly from the EU Instrument for Pre-accession Assistance (IPA).</w:t>
      </w:r>
    </w:p>
    <w:p w:rsidR="003F622A" w:rsidRDefault="003F622A" w:rsidP="00A86BDC">
      <w:pPr>
        <w:pStyle w:val="SingleTxtG"/>
        <w:numPr>
          <w:ilvl w:val="0"/>
          <w:numId w:val="27"/>
        </w:numPr>
        <w:adjustRightInd w:val="0"/>
        <w:snapToGrid w:val="0"/>
        <w:ind w:left="0" w:right="0" w:firstLine="0"/>
        <w:rPr>
          <w:lang w:eastAsia="en-GB"/>
        </w:rPr>
      </w:pPr>
      <w:r>
        <w:rPr>
          <w:lang w:eastAsia="en-GB"/>
        </w:rPr>
        <w:t>The CES Steering Group on SDGs has recently established a Task Group on Capacity Development, which will be an important partner in the implementation of this strategy.</w:t>
      </w:r>
    </w:p>
    <w:p w:rsidR="00910BF7" w:rsidRDefault="00910BF7" w:rsidP="00A86BDC">
      <w:pPr>
        <w:pStyle w:val="SingleTxtG"/>
        <w:numPr>
          <w:ilvl w:val="0"/>
          <w:numId w:val="27"/>
        </w:numPr>
        <w:adjustRightInd w:val="0"/>
        <w:snapToGrid w:val="0"/>
        <w:ind w:left="0" w:right="0" w:firstLine="0"/>
        <w:rPr>
          <w:lang w:eastAsia="en-GB"/>
        </w:rPr>
      </w:pPr>
      <w:r w:rsidRPr="00092DD6">
        <w:t>Taking account of the above</w:t>
      </w:r>
      <w:r>
        <w:t xml:space="preserve"> drivers for change and partnerships</w:t>
      </w:r>
      <w:r w:rsidRPr="00092DD6">
        <w:t>, this strategy document sets out the principles, priorities and tools that will form the basis for future UNECE statistical capacity development activities.</w:t>
      </w:r>
    </w:p>
    <w:p w:rsidR="00910BF7" w:rsidRPr="00092DD6" w:rsidRDefault="00910BF7" w:rsidP="00A86BDC">
      <w:pPr>
        <w:pStyle w:val="HChG"/>
        <w:adjustRightInd w:val="0"/>
        <w:snapToGrid w:val="0"/>
        <w:ind w:left="0" w:right="0" w:firstLine="0"/>
        <w:rPr>
          <w:lang w:eastAsia="en-GB"/>
        </w:rPr>
      </w:pPr>
      <w:r w:rsidRPr="00092DD6">
        <w:t>II.</w:t>
      </w:r>
      <w:r w:rsidR="00A86BDC">
        <w:t xml:space="preserve">    </w:t>
      </w:r>
      <w:r w:rsidRPr="00092DD6">
        <w:tab/>
        <w:t>C</w:t>
      </w:r>
      <w:r>
        <w:t>urrent situation</w:t>
      </w:r>
      <w:r w:rsidRPr="00092DD6">
        <w:t xml:space="preserve"> </w:t>
      </w:r>
    </w:p>
    <w:p w:rsidR="00910BF7" w:rsidRPr="009344A0" w:rsidRDefault="00910BF7" w:rsidP="00A86BDC">
      <w:pPr>
        <w:pStyle w:val="SingleTxtG"/>
        <w:numPr>
          <w:ilvl w:val="0"/>
          <w:numId w:val="27"/>
        </w:numPr>
        <w:adjustRightInd w:val="0"/>
        <w:snapToGrid w:val="0"/>
        <w:ind w:left="0" w:right="0" w:firstLine="0"/>
        <w:rPr>
          <w:lang w:eastAsia="en-GB"/>
        </w:rPr>
      </w:pPr>
      <w:r>
        <w:t>According to the UNECE Strategic Framework for 2018-19, the statistical work programme will:</w:t>
      </w:r>
    </w:p>
    <w:p w:rsidR="00910BF7" w:rsidRPr="00910BF7" w:rsidRDefault="00AE7643" w:rsidP="00A86BDC">
      <w:pPr>
        <w:pStyle w:val="SingleTxtG"/>
        <w:adjustRightInd w:val="0"/>
        <w:snapToGrid w:val="0"/>
        <w:ind w:left="0" w:right="0"/>
        <w:rPr>
          <w:i/>
        </w:rPr>
      </w:pPr>
      <w:r>
        <w:tab/>
        <w:t>“</w:t>
      </w:r>
      <w:r w:rsidR="00910BF7" w:rsidRPr="00910BF7">
        <w:rPr>
          <w:i/>
        </w:rPr>
        <w:t xml:space="preserve">support statistical capacity building of ECE member States, particularly of those with less developed statistical systems. It will promote the implementation of the Fundamental Principles of Official Statistics and other United Nations standards and best practices, and provide advice on legal and institutional frameworks of official statistics. This work will be demand-driven and address national priorities identified through global assessments of national </w:t>
      </w:r>
      <w:r w:rsidR="00910BF7" w:rsidRPr="00910BF7">
        <w:rPr>
          <w:i/>
        </w:rPr>
        <w:lastRenderedPageBreak/>
        <w:t>statistical systems. It will focus on modernizing statistical production, population censuses, SDGs indicators, gender-disaggregated statistics, economic statistics, environmental accounting and indicators.”</w:t>
      </w:r>
    </w:p>
    <w:p w:rsidR="00910BF7" w:rsidRPr="001A0B70" w:rsidRDefault="00910BF7" w:rsidP="00A86BDC">
      <w:pPr>
        <w:pStyle w:val="SingleTxtG"/>
        <w:numPr>
          <w:ilvl w:val="0"/>
          <w:numId w:val="27"/>
        </w:numPr>
        <w:adjustRightInd w:val="0"/>
        <w:snapToGrid w:val="0"/>
        <w:ind w:left="0" w:right="0" w:firstLine="0"/>
        <w:rPr>
          <w:lang w:eastAsia="en-GB"/>
        </w:rPr>
      </w:pPr>
      <w:r>
        <w:t xml:space="preserve">Statistical capacity development is a cross-cutting responsibility for all staff of the UNECE Statistical Division. It is closely tied to the development and implementation of standards and guidelines in many areas of official statistics. Within UNECE, statistical capacity development activities are coordinated by </w:t>
      </w:r>
      <w:r w:rsidR="006471A4">
        <w:t>a</w:t>
      </w:r>
      <w:r>
        <w:t xml:space="preserve"> Regional Adviser</w:t>
      </w:r>
      <w:r w:rsidR="006471A4">
        <w:t xml:space="preserve"> on statistics</w:t>
      </w:r>
      <w:r>
        <w:t>. In most cases, these activities are carried out in collaboration with other national or international statistical organisations.</w:t>
      </w:r>
    </w:p>
    <w:p w:rsidR="00910BF7" w:rsidRDefault="00910BF7" w:rsidP="00A86BDC">
      <w:pPr>
        <w:pStyle w:val="SingleTxtG"/>
        <w:numPr>
          <w:ilvl w:val="0"/>
          <w:numId w:val="27"/>
        </w:numPr>
        <w:adjustRightInd w:val="0"/>
        <w:snapToGrid w:val="0"/>
        <w:ind w:left="0" w:right="0" w:firstLine="0"/>
        <w:rPr>
          <w:lang w:eastAsia="en-GB"/>
        </w:rPr>
      </w:pPr>
      <w:r w:rsidRPr="003D1C7D">
        <w:rPr>
          <w:lang w:eastAsia="en-GB"/>
        </w:rPr>
        <w:t xml:space="preserve">UNECE statistical capacity development activities have traditionally focused on the countries in the Eastern Europe, Caucasus and Central Asia sub-region. However, recent developments such as SDGs and the need to modernise statistical production affect all UNECE member countries. Few countries can currently produce more than about half of the </w:t>
      </w:r>
      <w:r w:rsidR="00082488">
        <w:rPr>
          <w:lang w:eastAsia="en-GB"/>
        </w:rPr>
        <w:t xml:space="preserve">global </w:t>
      </w:r>
      <w:r w:rsidRPr="003D1C7D">
        <w:rPr>
          <w:lang w:eastAsia="en-GB"/>
        </w:rPr>
        <w:t>indicators needed for measuring SDGs. Other related challenges include the growing importance of integrating statistical and geospatial information, demands for many new types of statistics, and the appearance of potential new data sources. Statistical capacity development is, therefore, urgently needed in all UNECE countries, though the amount, nature, type and form will naturally vary from country to country.</w:t>
      </w:r>
    </w:p>
    <w:p w:rsidR="00910BF7" w:rsidRPr="004833B8" w:rsidRDefault="00910BF7" w:rsidP="00A86BDC">
      <w:pPr>
        <w:pStyle w:val="HChG"/>
        <w:adjustRightInd w:val="0"/>
        <w:snapToGrid w:val="0"/>
        <w:ind w:left="0" w:right="0" w:firstLine="0"/>
        <w:rPr>
          <w:lang w:eastAsia="en-GB"/>
        </w:rPr>
      </w:pPr>
      <w:r w:rsidRPr="004833B8">
        <w:rPr>
          <w:lang w:eastAsia="en-GB"/>
        </w:rPr>
        <w:t>III.</w:t>
      </w:r>
      <w:r w:rsidR="00A86BDC">
        <w:rPr>
          <w:lang w:eastAsia="en-GB"/>
        </w:rPr>
        <w:t xml:space="preserve">   </w:t>
      </w:r>
      <w:r w:rsidRPr="004833B8">
        <w:rPr>
          <w:lang w:eastAsia="en-GB"/>
        </w:rPr>
        <w:tab/>
      </w:r>
      <w:r>
        <w:rPr>
          <w:lang w:eastAsia="en-GB"/>
        </w:rPr>
        <w:t>A new approach to capacity development</w:t>
      </w:r>
    </w:p>
    <w:p w:rsidR="00910BF7" w:rsidRPr="00EC5524" w:rsidRDefault="00910BF7" w:rsidP="00A86BDC">
      <w:pPr>
        <w:pStyle w:val="SingleTxtG"/>
        <w:numPr>
          <w:ilvl w:val="0"/>
          <w:numId w:val="27"/>
        </w:numPr>
        <w:adjustRightInd w:val="0"/>
        <w:snapToGrid w:val="0"/>
        <w:ind w:left="0" w:right="0" w:firstLine="0"/>
        <w:rPr>
          <w:lang w:eastAsia="en-GB"/>
        </w:rPr>
      </w:pPr>
      <w:r>
        <w:rPr>
          <w:lang w:eastAsia="en-GB"/>
        </w:rPr>
        <w:t>In</w:t>
      </w:r>
      <w:r>
        <w:t xml:space="preserve"> the past, UNECE statistical capacity development has focused mainly on providing training workshops. These were mostly related to specific subject-matter domains. In this way, the focus was more on people than on the organisation. In view of the new challenges identified above, </w:t>
      </w:r>
      <w:r w:rsidRPr="00EC5524">
        <w:t>and particularly the demands related to producing statistics for SDGs, a new, more holistic approach is needed. This requires a strategy that considers all aspects</w:t>
      </w:r>
      <w:r>
        <w:t xml:space="preserve"> of the organisation, and targets support and development where they are most needed</w:t>
      </w:r>
      <w:r w:rsidRPr="00EC5524">
        <w:t>.</w:t>
      </w:r>
    </w:p>
    <w:p w:rsidR="00910BF7" w:rsidRPr="00EC5524" w:rsidRDefault="00910BF7" w:rsidP="00A86BDC">
      <w:pPr>
        <w:pStyle w:val="SingleTxtG"/>
        <w:numPr>
          <w:ilvl w:val="0"/>
          <w:numId w:val="27"/>
        </w:numPr>
        <w:adjustRightInd w:val="0"/>
        <w:snapToGrid w:val="0"/>
        <w:ind w:left="0" w:right="0" w:firstLine="0"/>
        <w:rPr>
          <w:lang w:eastAsia="en-GB"/>
        </w:rPr>
      </w:pPr>
      <w:r w:rsidRPr="00EC5524">
        <w:rPr>
          <w:lang w:eastAsia="en-GB"/>
        </w:rPr>
        <w:t xml:space="preserve">The cornerstone of the </w:t>
      </w:r>
      <w:r w:rsidRPr="00471121">
        <w:rPr>
          <w:lang w:eastAsia="en-GB"/>
        </w:rPr>
        <w:t>strategy is the concept of capabilities.</w:t>
      </w:r>
      <w:r w:rsidRPr="00471121">
        <w:t xml:space="preserve"> In general terms, a</w:t>
      </w:r>
      <w:r w:rsidRPr="00471121">
        <w:rPr>
          <w:lang w:eastAsia="en-GB"/>
        </w:rPr>
        <w:t xml:space="preserve"> capability is defined as the “ability that an organisation, person, or system possesses - capabilities typically require a combination of organisation, people, processes, and technology to achieve”</w:t>
      </w:r>
      <w:r w:rsidRPr="0055685C">
        <w:rPr>
          <w:rStyle w:val="FootnoteReference"/>
          <w:sz w:val="20"/>
          <w:szCs w:val="24"/>
          <w:lang w:eastAsia="en-GB"/>
        </w:rPr>
        <w:footnoteReference w:id="2"/>
      </w:r>
      <w:r w:rsidRPr="00471121">
        <w:rPr>
          <w:lang w:eastAsia="en-GB"/>
        </w:rPr>
        <w:t xml:space="preserve">. </w:t>
      </w:r>
      <w:r>
        <w:rPr>
          <w:lang w:eastAsia="en-GB"/>
        </w:rPr>
        <w:t>Capabilities</w:t>
      </w:r>
      <w:r w:rsidRPr="00471121">
        <w:rPr>
          <w:lang w:eastAsia="en-GB"/>
        </w:rPr>
        <w:t xml:space="preserve"> are things that an organisation does, or needs to do. Examples in statistical organisations could include seasonal adjustment, internet data collection, or applying machine-learning techniques. As the definition</w:t>
      </w:r>
      <w:r w:rsidRPr="00EC5524">
        <w:rPr>
          <w:lang w:eastAsia="en-GB"/>
        </w:rPr>
        <w:t xml:space="preserve"> </w:t>
      </w:r>
      <w:r>
        <w:rPr>
          <w:lang w:eastAsia="en-GB"/>
        </w:rPr>
        <w:t xml:space="preserve">above </w:t>
      </w:r>
      <w:r w:rsidRPr="00EC5524">
        <w:rPr>
          <w:lang w:eastAsia="en-GB"/>
        </w:rPr>
        <w:t xml:space="preserve">says, capabilities require combinations of </w:t>
      </w:r>
      <w:r>
        <w:rPr>
          <w:lang w:eastAsia="en-GB"/>
        </w:rPr>
        <w:t xml:space="preserve">different </w:t>
      </w:r>
      <w:r w:rsidRPr="00EC5524">
        <w:rPr>
          <w:lang w:eastAsia="en-GB"/>
        </w:rPr>
        <w:t xml:space="preserve">factors or dimensions – rather like the economic concept of factors of production (land, labour, capital). The </w:t>
      </w:r>
      <w:r>
        <w:rPr>
          <w:lang w:eastAsia="en-GB"/>
        </w:rPr>
        <w:t xml:space="preserve">full </w:t>
      </w:r>
      <w:r w:rsidRPr="00EC5524">
        <w:rPr>
          <w:lang w:eastAsia="en-GB"/>
        </w:rPr>
        <w:t xml:space="preserve">set of dimensions for capabilities in official statistics </w:t>
      </w:r>
      <w:r>
        <w:rPr>
          <w:lang w:eastAsia="en-GB"/>
        </w:rPr>
        <w:t>is</w:t>
      </w:r>
      <w:r w:rsidRPr="00EC5524">
        <w:rPr>
          <w:lang w:eastAsia="en-GB"/>
        </w:rPr>
        <w:t xml:space="preserve"> presented in Section IV</w:t>
      </w:r>
      <w:r>
        <w:rPr>
          <w:lang w:eastAsia="en-GB"/>
        </w:rPr>
        <w:t xml:space="preserve">(C) </w:t>
      </w:r>
      <w:r w:rsidRPr="00EC5524">
        <w:rPr>
          <w:lang w:eastAsia="en-GB"/>
        </w:rPr>
        <w:t>below, and defined in more detail in the Annex.</w:t>
      </w:r>
    </w:p>
    <w:p w:rsidR="00910BF7" w:rsidRPr="00BB280F" w:rsidRDefault="00910BF7" w:rsidP="00A86BDC">
      <w:pPr>
        <w:pStyle w:val="SingleTxtG"/>
        <w:numPr>
          <w:ilvl w:val="0"/>
          <w:numId w:val="27"/>
        </w:numPr>
        <w:adjustRightInd w:val="0"/>
        <w:snapToGrid w:val="0"/>
        <w:ind w:left="0" w:right="0" w:firstLine="0"/>
        <w:rPr>
          <w:lang w:eastAsia="en-GB"/>
        </w:rPr>
      </w:pPr>
      <w:r>
        <w:t>One reason for not just focusing on training people is that some</w:t>
      </w:r>
      <w:r w:rsidRPr="00EC5524">
        <w:t xml:space="preserve"> statistical organisations struggle to pay a competitive salary, and hence have a high staff turnover</w:t>
      </w:r>
      <w:r>
        <w:t>.</w:t>
      </w:r>
      <w:r w:rsidRPr="00EC5524">
        <w:t xml:space="preserve"> </w:t>
      </w:r>
      <w:r>
        <w:t>Training people can therefore have a limited impact</w:t>
      </w:r>
      <w:r w:rsidRPr="00EC5524">
        <w:t xml:space="preserve">. </w:t>
      </w:r>
      <w:r>
        <w:t>Whilst training of people will still be needed, it should be undertaken in combination with ensuring that the organisation is sufficiently equipped in terms of methods, technology, processes, information and standards, whilst ensuring a suitable institutional framework is in place.</w:t>
      </w:r>
    </w:p>
    <w:p w:rsidR="00910BF7" w:rsidRDefault="00910BF7" w:rsidP="00A86BDC">
      <w:pPr>
        <w:pStyle w:val="HChG"/>
        <w:adjustRightInd w:val="0"/>
        <w:snapToGrid w:val="0"/>
        <w:ind w:left="0" w:right="0" w:firstLine="0"/>
        <w:rPr>
          <w:lang w:eastAsia="en-GB"/>
        </w:rPr>
      </w:pPr>
      <w:r w:rsidRPr="008917A8">
        <w:rPr>
          <w:lang w:eastAsia="en-GB"/>
        </w:rPr>
        <w:t>IV</w:t>
      </w:r>
      <w:r>
        <w:rPr>
          <w:lang w:eastAsia="en-GB"/>
        </w:rPr>
        <w:t>.</w:t>
      </w:r>
      <w:r w:rsidR="00A86BDC">
        <w:rPr>
          <w:lang w:eastAsia="en-GB"/>
        </w:rPr>
        <w:t xml:space="preserve">    </w:t>
      </w:r>
      <w:r w:rsidRPr="008917A8">
        <w:rPr>
          <w:lang w:eastAsia="en-GB"/>
        </w:rPr>
        <w:tab/>
        <w:t xml:space="preserve">A </w:t>
      </w:r>
      <w:r>
        <w:rPr>
          <w:lang w:eastAsia="en-GB"/>
        </w:rPr>
        <w:t>strategy for statistical capacity development</w:t>
      </w:r>
    </w:p>
    <w:p w:rsidR="00910BF7" w:rsidRDefault="00910BF7" w:rsidP="00A86BDC">
      <w:pPr>
        <w:pStyle w:val="SingleTxtG"/>
        <w:numPr>
          <w:ilvl w:val="0"/>
          <w:numId w:val="27"/>
        </w:numPr>
        <w:adjustRightInd w:val="0"/>
        <w:snapToGrid w:val="0"/>
        <w:ind w:left="0" w:right="0" w:firstLine="0"/>
        <w:rPr>
          <w:lang w:eastAsia="en-GB"/>
        </w:rPr>
      </w:pPr>
      <w:r>
        <w:rPr>
          <w:lang w:eastAsia="en-GB"/>
        </w:rPr>
        <w:t xml:space="preserve">The </w:t>
      </w:r>
      <w:r w:rsidR="008B4983">
        <w:rPr>
          <w:lang w:eastAsia="en-GB"/>
        </w:rPr>
        <w:t xml:space="preserve">goal of the </w:t>
      </w:r>
      <w:r>
        <w:rPr>
          <w:lang w:eastAsia="en-GB"/>
        </w:rPr>
        <w:t xml:space="preserve">strategy </w:t>
      </w:r>
      <w:r w:rsidR="00AC15B1">
        <w:rPr>
          <w:lang w:eastAsia="en-GB"/>
        </w:rPr>
        <w:t xml:space="preserve">is </w:t>
      </w:r>
      <w:r w:rsidR="008B4983">
        <w:rPr>
          <w:lang w:eastAsia="en-GB"/>
        </w:rPr>
        <w:t>to support member countries to develop</w:t>
      </w:r>
      <w:r w:rsidR="00082488">
        <w:rPr>
          <w:lang w:eastAsia="en-GB"/>
        </w:rPr>
        <w:t xml:space="preserve"> and enhance</w:t>
      </w:r>
      <w:r w:rsidR="008B4983">
        <w:rPr>
          <w:lang w:eastAsia="en-GB"/>
        </w:rPr>
        <w:t xml:space="preserve"> the capabilities they need to </w:t>
      </w:r>
      <w:r w:rsidR="00082488">
        <w:rPr>
          <w:lang w:eastAsia="en-GB"/>
        </w:rPr>
        <w:t xml:space="preserve">produce official statistics, and to implement international norms and standards. </w:t>
      </w:r>
      <w:r w:rsidR="0058484E">
        <w:rPr>
          <w:lang w:eastAsia="en-GB"/>
        </w:rPr>
        <w:t xml:space="preserve">The main stakeholders and beneficiaries are national statistical systems. Other stakeholders include national and international organisations that provide capacity development support in the UNECE region. </w:t>
      </w:r>
      <w:r w:rsidR="008B4983">
        <w:rPr>
          <w:lang w:eastAsia="en-GB"/>
        </w:rPr>
        <w:t xml:space="preserve">The strategy is </w:t>
      </w:r>
      <w:r w:rsidR="00AC15B1">
        <w:rPr>
          <w:lang w:eastAsia="en-GB"/>
        </w:rPr>
        <w:t>based on three pillars:</w:t>
      </w:r>
      <w:r>
        <w:rPr>
          <w:lang w:eastAsia="en-GB"/>
        </w:rPr>
        <w:t xml:space="preserve"> principles, priorities and tools.</w:t>
      </w:r>
    </w:p>
    <w:p w:rsidR="00910BF7" w:rsidRPr="00FB2EEE" w:rsidRDefault="00910BF7" w:rsidP="00A86BDC">
      <w:pPr>
        <w:pStyle w:val="H1G"/>
        <w:adjustRightInd w:val="0"/>
        <w:snapToGrid w:val="0"/>
        <w:ind w:left="0" w:right="0" w:firstLine="0"/>
        <w:rPr>
          <w:lang w:eastAsia="en-GB"/>
        </w:rPr>
      </w:pPr>
      <w:r w:rsidRPr="00FB2EEE">
        <w:rPr>
          <w:lang w:eastAsia="en-GB"/>
        </w:rPr>
        <w:t>A.</w:t>
      </w:r>
      <w:r w:rsidR="00A86BDC">
        <w:rPr>
          <w:lang w:eastAsia="en-GB"/>
        </w:rPr>
        <w:t xml:space="preserve">      </w:t>
      </w:r>
      <w:r w:rsidRPr="00FB2EEE">
        <w:rPr>
          <w:lang w:eastAsia="en-GB"/>
        </w:rPr>
        <w:tab/>
        <w:t>P</w:t>
      </w:r>
      <w:r w:rsidR="00AE7643">
        <w:rPr>
          <w:lang w:eastAsia="en-GB"/>
        </w:rPr>
        <w:t>rinciples</w:t>
      </w:r>
    </w:p>
    <w:p w:rsidR="00910BF7" w:rsidRDefault="00910BF7" w:rsidP="00A86BDC">
      <w:pPr>
        <w:pStyle w:val="SingleTxtG"/>
        <w:numPr>
          <w:ilvl w:val="0"/>
          <w:numId w:val="27"/>
        </w:numPr>
        <w:adjustRightInd w:val="0"/>
        <w:snapToGrid w:val="0"/>
        <w:ind w:left="0" w:right="0" w:firstLine="0"/>
        <w:rPr>
          <w:lang w:eastAsia="en-GB"/>
        </w:rPr>
      </w:pPr>
      <w:r>
        <w:rPr>
          <w:lang w:eastAsia="en-GB"/>
        </w:rPr>
        <w:t>The strategy is based on the following principles</w:t>
      </w:r>
      <w:r w:rsidR="003E2BAD">
        <w:rPr>
          <w:lang w:eastAsia="en-GB"/>
        </w:rPr>
        <w:t>, which are intended to cover all dimensions of the capabilities to be developed or enhanced</w:t>
      </w:r>
      <w:r>
        <w:rPr>
          <w:lang w:eastAsia="en-GB"/>
        </w:rPr>
        <w:t>:</w:t>
      </w:r>
    </w:p>
    <w:p w:rsidR="003F622A" w:rsidRPr="00AE7643" w:rsidRDefault="003F622A" w:rsidP="00A86BDC">
      <w:pPr>
        <w:pStyle w:val="Bullet1G"/>
        <w:numPr>
          <w:ilvl w:val="2"/>
          <w:numId w:val="29"/>
        </w:numPr>
        <w:adjustRightInd w:val="0"/>
        <w:snapToGrid w:val="0"/>
        <w:ind w:left="0" w:right="0" w:firstLine="0"/>
      </w:pPr>
      <w:r w:rsidRPr="00AE7643">
        <w:lastRenderedPageBreak/>
        <w:t>Demand driven – capacity development activities respond to the needs identified by countries, including through global assessments of national statistical systems</w:t>
      </w:r>
      <w:r>
        <w:t>;</w:t>
      </w:r>
    </w:p>
    <w:p w:rsidR="00910BF7" w:rsidRPr="00AE7643" w:rsidRDefault="00910BF7" w:rsidP="00A86BDC">
      <w:pPr>
        <w:pStyle w:val="Bullet1G"/>
        <w:numPr>
          <w:ilvl w:val="2"/>
          <w:numId w:val="29"/>
        </w:numPr>
        <w:adjustRightInd w:val="0"/>
        <w:snapToGrid w:val="0"/>
        <w:ind w:left="0" w:right="0" w:firstLine="0"/>
      </w:pPr>
      <w:r w:rsidRPr="00AE7643">
        <w:t>Open to all – capacity development is needed by all UNECE countries, in the context</w:t>
      </w:r>
      <w:r w:rsidR="00F86003">
        <w:t>s</w:t>
      </w:r>
      <w:r w:rsidRPr="00AE7643">
        <w:t xml:space="preserve"> of data for SDGs</w:t>
      </w:r>
      <w:r w:rsidR="00F86003">
        <w:t xml:space="preserve">, or </w:t>
      </w:r>
      <w:r w:rsidRPr="00AE7643">
        <w:t>modernising statistical production, regardless of the level of development of their statistical systems</w:t>
      </w:r>
      <w:r w:rsidR="00AE7643">
        <w:t>;</w:t>
      </w:r>
    </w:p>
    <w:p w:rsidR="00910BF7" w:rsidRPr="00AE7643" w:rsidRDefault="00910BF7" w:rsidP="00A86BDC">
      <w:pPr>
        <w:pStyle w:val="Bullet1G"/>
        <w:numPr>
          <w:ilvl w:val="2"/>
          <w:numId w:val="29"/>
        </w:numPr>
        <w:adjustRightInd w:val="0"/>
        <w:snapToGrid w:val="0"/>
        <w:ind w:left="0" w:right="0" w:firstLine="0"/>
      </w:pPr>
      <w:r w:rsidRPr="00AE7643">
        <w:t>Linked to UNECE’s normative work – capacity development activities promote the implementation and use of CES standards and guidelines</w:t>
      </w:r>
      <w:r w:rsidR="00AE7643">
        <w:t>;</w:t>
      </w:r>
    </w:p>
    <w:p w:rsidR="00910BF7" w:rsidRPr="00AE7643" w:rsidRDefault="00910BF7" w:rsidP="00A86BDC">
      <w:pPr>
        <w:pStyle w:val="Bullet1G"/>
        <w:numPr>
          <w:ilvl w:val="2"/>
          <w:numId w:val="29"/>
        </w:numPr>
        <w:adjustRightInd w:val="0"/>
        <w:snapToGrid w:val="0"/>
        <w:ind w:left="0" w:right="0" w:firstLine="0"/>
      </w:pPr>
      <w:r w:rsidRPr="00AE7643">
        <w:t>Focused – related to the above point, capacity development activities focus on areas where UNECE has recognised expertise, to ensure optimal use of limited resources</w:t>
      </w:r>
      <w:r w:rsidR="00AE7643">
        <w:t>;</w:t>
      </w:r>
    </w:p>
    <w:p w:rsidR="00910BF7" w:rsidRPr="00AE7643" w:rsidRDefault="00910BF7" w:rsidP="00A86BDC">
      <w:pPr>
        <w:pStyle w:val="Bullet1G"/>
        <w:numPr>
          <w:ilvl w:val="2"/>
          <w:numId w:val="29"/>
        </w:numPr>
        <w:adjustRightInd w:val="0"/>
        <w:snapToGrid w:val="0"/>
        <w:ind w:left="0" w:right="0" w:firstLine="0"/>
      </w:pPr>
      <w:r w:rsidRPr="00AE7643">
        <w:t xml:space="preserve">Results oriented – capacity development activities are planned and implemented to maximize their impact. This impact is assessed, </w:t>
      </w:r>
      <w:r w:rsidR="003E2BAD">
        <w:t xml:space="preserve">for example using a maturity model, </w:t>
      </w:r>
      <w:r w:rsidRPr="00AE7643">
        <w:t>and the results of assessments are used to improve the efficiency of future activities</w:t>
      </w:r>
      <w:r w:rsidR="00AE7643">
        <w:t>;</w:t>
      </w:r>
      <w:r w:rsidRPr="00AE7643">
        <w:t xml:space="preserve"> </w:t>
      </w:r>
    </w:p>
    <w:p w:rsidR="00910BF7" w:rsidRPr="00AE7643" w:rsidRDefault="00910BF7" w:rsidP="00A86BDC">
      <w:pPr>
        <w:pStyle w:val="Bullet1G"/>
        <w:numPr>
          <w:ilvl w:val="2"/>
          <w:numId w:val="29"/>
        </w:numPr>
        <w:adjustRightInd w:val="0"/>
        <w:snapToGrid w:val="0"/>
        <w:ind w:left="0" w:right="0" w:firstLine="0"/>
      </w:pPr>
      <w:r w:rsidRPr="00AE7643">
        <w:t>Cooperation and partnership with others – capacity development activities are coordinated with other organisations</w:t>
      </w:r>
      <w:r w:rsidR="003E2BAD">
        <w:t xml:space="preserve"> that are providing capacity development support. This will</w:t>
      </w:r>
      <w:r w:rsidRPr="00AE7643">
        <w:t xml:space="preserve"> avoid duplication and ensure coherent and consistent </w:t>
      </w:r>
      <w:r w:rsidR="003E2BAD">
        <w:t>support</w:t>
      </w:r>
      <w:r w:rsidRPr="00AE7643">
        <w:t xml:space="preserve"> to countries</w:t>
      </w:r>
      <w:r w:rsidR="00AE7643">
        <w:t>;</w:t>
      </w:r>
    </w:p>
    <w:p w:rsidR="00910BF7" w:rsidRDefault="00910BF7" w:rsidP="00A86BDC">
      <w:pPr>
        <w:pStyle w:val="Bullet1G"/>
        <w:numPr>
          <w:ilvl w:val="2"/>
          <w:numId w:val="29"/>
        </w:numPr>
        <w:adjustRightInd w:val="0"/>
        <w:snapToGrid w:val="0"/>
        <w:ind w:left="0" w:right="0" w:firstLine="0"/>
      </w:pPr>
      <w:r w:rsidRPr="00AE7643">
        <w:t>Sustainability – capacity development activities result in sustainable increases in capacity in beneficiary countries</w:t>
      </w:r>
      <w:r w:rsidR="003E2BAD">
        <w:t>;</w:t>
      </w:r>
    </w:p>
    <w:p w:rsidR="003E2BAD" w:rsidRPr="00AE7643" w:rsidRDefault="003E2BAD" w:rsidP="00A86BDC">
      <w:pPr>
        <w:pStyle w:val="Bullet1G"/>
        <w:numPr>
          <w:ilvl w:val="2"/>
          <w:numId w:val="29"/>
        </w:numPr>
        <w:adjustRightInd w:val="0"/>
        <w:snapToGrid w:val="0"/>
        <w:ind w:left="0" w:right="0" w:firstLine="0"/>
      </w:pPr>
      <w:r>
        <w:t>Flexibility – the provision of capacity development support is flexible and agile, to respond to changing demands and circumstances.</w:t>
      </w:r>
    </w:p>
    <w:p w:rsidR="00910BF7" w:rsidRPr="00AE7643" w:rsidRDefault="00910BF7" w:rsidP="00A86BDC">
      <w:pPr>
        <w:pStyle w:val="H1G"/>
        <w:adjustRightInd w:val="0"/>
        <w:snapToGrid w:val="0"/>
        <w:ind w:left="0" w:right="0" w:firstLine="0"/>
        <w:rPr>
          <w:lang w:eastAsia="en-GB"/>
        </w:rPr>
      </w:pPr>
      <w:r w:rsidRPr="00AE7643">
        <w:rPr>
          <w:lang w:eastAsia="en-GB"/>
        </w:rPr>
        <w:t>B.</w:t>
      </w:r>
      <w:r w:rsidR="00A86BDC">
        <w:rPr>
          <w:lang w:eastAsia="en-GB"/>
        </w:rPr>
        <w:tab/>
        <w:t xml:space="preserve">      </w:t>
      </w:r>
      <w:r w:rsidRPr="00AE7643">
        <w:rPr>
          <w:lang w:eastAsia="en-GB"/>
        </w:rPr>
        <w:t>P</w:t>
      </w:r>
      <w:r w:rsidR="00AE7643">
        <w:rPr>
          <w:lang w:eastAsia="en-GB"/>
        </w:rPr>
        <w:t>riorities</w:t>
      </w:r>
    </w:p>
    <w:p w:rsidR="00910BF7" w:rsidRDefault="00910BF7" w:rsidP="00A86BDC">
      <w:pPr>
        <w:pStyle w:val="SingleTxtG"/>
        <w:numPr>
          <w:ilvl w:val="0"/>
          <w:numId w:val="27"/>
        </w:numPr>
        <w:adjustRightInd w:val="0"/>
        <w:snapToGrid w:val="0"/>
        <w:ind w:left="0" w:right="0" w:firstLine="0"/>
        <w:rPr>
          <w:lang w:eastAsia="en-GB"/>
        </w:rPr>
      </w:pPr>
      <w:r>
        <w:t xml:space="preserve">Whilst capacity development activities will be demand driven, and priorities will therefore be set by national requirements, it is possible to identify some of the </w:t>
      </w:r>
      <w:r w:rsidRPr="00754593">
        <w:t xml:space="preserve">likely priority topics for capacity </w:t>
      </w:r>
      <w:r>
        <w:t>development over the next three to four years, b</w:t>
      </w:r>
      <w:r w:rsidRPr="00754593">
        <w:t>ased on observation of recent trends</w:t>
      </w:r>
      <w:r>
        <w:t>. Likely priorities include:</w:t>
      </w:r>
    </w:p>
    <w:p w:rsidR="00910BF7" w:rsidRDefault="00910BF7" w:rsidP="00A86BDC">
      <w:pPr>
        <w:pStyle w:val="Bullet1G"/>
        <w:numPr>
          <w:ilvl w:val="2"/>
          <w:numId w:val="29"/>
        </w:numPr>
        <w:adjustRightInd w:val="0"/>
        <w:snapToGrid w:val="0"/>
        <w:ind w:left="0" w:right="0" w:firstLine="0"/>
      </w:pPr>
      <w:r>
        <w:t>Statistics for SDGs – with a focus on institutional issues</w:t>
      </w:r>
      <w:r w:rsidR="003F622A">
        <w:t xml:space="preserve"> and strengthening national statistical systems</w:t>
      </w:r>
      <w:r w:rsidR="00AE7643">
        <w:t>;</w:t>
      </w:r>
    </w:p>
    <w:p w:rsidR="00910BF7" w:rsidRDefault="00910BF7" w:rsidP="00A86BDC">
      <w:pPr>
        <w:pStyle w:val="Bullet1G"/>
        <w:numPr>
          <w:ilvl w:val="2"/>
          <w:numId w:val="29"/>
        </w:numPr>
        <w:adjustRightInd w:val="0"/>
        <w:snapToGrid w:val="0"/>
        <w:ind w:left="0" w:right="0" w:firstLine="0"/>
      </w:pPr>
      <w:r>
        <w:t>Geospatial information management, including integrating statistical and geospatial information</w:t>
      </w:r>
      <w:r w:rsidR="00AE7643">
        <w:t>;</w:t>
      </w:r>
    </w:p>
    <w:p w:rsidR="00910BF7" w:rsidRDefault="00910BF7" w:rsidP="00A86BDC">
      <w:pPr>
        <w:pStyle w:val="Bullet1G"/>
        <w:numPr>
          <w:ilvl w:val="2"/>
          <w:numId w:val="29"/>
        </w:numPr>
        <w:adjustRightInd w:val="0"/>
        <w:snapToGrid w:val="0"/>
        <w:ind w:left="0" w:right="0" w:firstLine="0"/>
      </w:pPr>
      <w:r>
        <w:t>Population and housing censuses, migration and gender statistics</w:t>
      </w:r>
      <w:r w:rsidR="00AE7643">
        <w:t>;</w:t>
      </w:r>
    </w:p>
    <w:p w:rsidR="00910BF7" w:rsidRDefault="00910BF7" w:rsidP="00A86BDC">
      <w:pPr>
        <w:pStyle w:val="Bullet1G"/>
        <w:numPr>
          <w:ilvl w:val="2"/>
          <w:numId w:val="29"/>
        </w:numPr>
        <w:adjustRightInd w:val="0"/>
        <w:snapToGrid w:val="0"/>
        <w:ind w:left="0" w:right="0" w:firstLine="0"/>
      </w:pPr>
      <w:r>
        <w:t>Environment statistics and environmental-economic accounting</w:t>
      </w:r>
      <w:r w:rsidR="00AE7643">
        <w:t>;</w:t>
      </w:r>
    </w:p>
    <w:p w:rsidR="00910BF7" w:rsidRDefault="00910BF7" w:rsidP="00A86BDC">
      <w:pPr>
        <w:pStyle w:val="Bullet1G"/>
        <w:numPr>
          <w:ilvl w:val="2"/>
          <w:numId w:val="29"/>
        </w:numPr>
        <w:adjustRightInd w:val="0"/>
        <w:snapToGrid w:val="0"/>
        <w:ind w:left="0" w:right="0" w:firstLine="0"/>
      </w:pPr>
      <w:r>
        <w:t>Modernising official statistics</w:t>
      </w:r>
      <w:r w:rsidR="00AE7643">
        <w:t>;</w:t>
      </w:r>
    </w:p>
    <w:p w:rsidR="00910BF7" w:rsidRPr="00F6605A" w:rsidRDefault="00910BF7" w:rsidP="00A86BDC">
      <w:pPr>
        <w:pStyle w:val="Bullet1G"/>
        <w:numPr>
          <w:ilvl w:val="2"/>
          <w:numId w:val="29"/>
        </w:numPr>
        <w:adjustRightInd w:val="0"/>
        <w:snapToGrid w:val="0"/>
        <w:ind w:left="0" w:right="0" w:firstLine="0"/>
      </w:pPr>
      <w:r>
        <w:t>Core economic statistics and the impacts of globalisation</w:t>
      </w:r>
      <w:r w:rsidR="00AE7643">
        <w:t>.</w:t>
      </w:r>
    </w:p>
    <w:p w:rsidR="00910BF7" w:rsidRDefault="00910BF7" w:rsidP="00A86BDC">
      <w:pPr>
        <w:pStyle w:val="SingleTxtG"/>
        <w:numPr>
          <w:ilvl w:val="0"/>
          <w:numId w:val="27"/>
        </w:numPr>
        <w:adjustRightInd w:val="0"/>
        <w:snapToGrid w:val="0"/>
        <w:ind w:left="0" w:right="0" w:firstLine="0"/>
        <w:rPr>
          <w:lang w:eastAsia="en-GB"/>
        </w:rPr>
      </w:pPr>
      <w:r>
        <w:rPr>
          <w:lang w:eastAsia="en-GB"/>
        </w:rPr>
        <w:t>In addition, increased emphasis will be placed on e</w:t>
      </w:r>
      <w:r>
        <w:t xml:space="preserve">nhancing management and organisational capacity. This will include strategic topics </w:t>
      </w:r>
      <w:r w:rsidRPr="003F483F">
        <w:t xml:space="preserve">such as change and risk management, developing effective partnerships, capability and resource planning. </w:t>
      </w:r>
      <w:r>
        <w:t>T</w:t>
      </w:r>
      <w:r w:rsidRPr="003F483F">
        <w:t>he UNECE work on modernisation of official statistics,</w:t>
      </w:r>
      <w:r>
        <w:t xml:space="preserve"> has shown that</w:t>
      </w:r>
      <w:r w:rsidRPr="003F483F">
        <w:t xml:space="preserve"> often the main barriers to development are not technological. They are more often linked to organisation and management culture. Training technical experts will not have the required impact if the organisation and management cultures do not support development and change.</w:t>
      </w:r>
    </w:p>
    <w:p w:rsidR="00910BF7" w:rsidRPr="00421AE6" w:rsidRDefault="00910BF7" w:rsidP="00A86BDC">
      <w:pPr>
        <w:pStyle w:val="H1G"/>
        <w:adjustRightInd w:val="0"/>
        <w:snapToGrid w:val="0"/>
        <w:ind w:left="0" w:right="0" w:firstLine="0"/>
        <w:rPr>
          <w:lang w:eastAsia="en-GB"/>
        </w:rPr>
      </w:pPr>
      <w:r w:rsidRPr="00421AE6">
        <w:rPr>
          <w:lang w:eastAsia="en-GB"/>
        </w:rPr>
        <w:t>C.</w:t>
      </w:r>
      <w:r w:rsidR="00A86BDC">
        <w:rPr>
          <w:lang w:eastAsia="en-GB"/>
        </w:rPr>
        <w:t xml:space="preserve">     </w:t>
      </w:r>
      <w:r w:rsidRPr="00421AE6">
        <w:rPr>
          <w:lang w:eastAsia="en-GB"/>
        </w:rPr>
        <w:t>T</w:t>
      </w:r>
      <w:r w:rsidR="00AE7643">
        <w:rPr>
          <w:lang w:eastAsia="en-GB"/>
        </w:rPr>
        <w:t>ools</w:t>
      </w:r>
    </w:p>
    <w:p w:rsidR="00910BF7" w:rsidRPr="00094D5D" w:rsidRDefault="00910BF7" w:rsidP="00A86BDC">
      <w:pPr>
        <w:pStyle w:val="SingleTxtG"/>
        <w:numPr>
          <w:ilvl w:val="0"/>
          <w:numId w:val="27"/>
        </w:numPr>
        <w:adjustRightInd w:val="0"/>
        <w:snapToGrid w:val="0"/>
        <w:ind w:left="0" w:right="0" w:firstLine="0"/>
        <w:rPr>
          <w:b/>
          <w:lang w:eastAsia="en-GB"/>
        </w:rPr>
      </w:pPr>
      <w:r w:rsidRPr="00094D5D">
        <w:rPr>
          <w:lang w:eastAsia="en-GB"/>
        </w:rPr>
        <w:t xml:space="preserve">Statistical capacity development activities will have a much wider scope than just the provision of training. They will draw on the definition of capabilities, introduced in paragraph </w:t>
      </w:r>
      <w:r w:rsidR="00BA7AE2">
        <w:rPr>
          <w:lang w:eastAsia="en-GB"/>
        </w:rPr>
        <w:t>1</w:t>
      </w:r>
      <w:r w:rsidR="003F622A">
        <w:rPr>
          <w:lang w:eastAsia="en-GB"/>
        </w:rPr>
        <w:t>1</w:t>
      </w:r>
      <w:r w:rsidRPr="00094D5D">
        <w:rPr>
          <w:lang w:eastAsia="en-GB"/>
        </w:rPr>
        <w:t xml:space="preserve"> above. According to that definition, capabilities have several dimensions. The full set of dimensions for statistical ca</w:t>
      </w:r>
      <w:r w:rsidR="00B96C54">
        <w:rPr>
          <w:lang w:eastAsia="en-GB"/>
        </w:rPr>
        <w:t xml:space="preserve">pabilities is shown </w:t>
      </w:r>
      <w:r w:rsidRPr="00094D5D">
        <w:rPr>
          <w:lang w:eastAsia="en-GB"/>
        </w:rPr>
        <w:t>below, and these dimensions are defined in the Annex.</w:t>
      </w:r>
    </w:p>
    <w:p w:rsidR="00AE7643" w:rsidRDefault="00AE7643" w:rsidP="00A86BDC">
      <w:pPr>
        <w:pStyle w:val="SingleTxtG"/>
        <w:adjustRightInd w:val="0"/>
        <w:snapToGrid w:val="0"/>
        <w:spacing w:after="0"/>
        <w:ind w:left="0" w:right="0"/>
        <w:jc w:val="left"/>
        <w:rPr>
          <w:lang w:eastAsia="en-GB"/>
        </w:rPr>
      </w:pPr>
    </w:p>
    <w:p w:rsidR="00AE7643" w:rsidRPr="00A86BDC" w:rsidRDefault="00AE7643" w:rsidP="00A86BDC">
      <w:pPr>
        <w:pStyle w:val="SingleTxtG"/>
        <w:adjustRightInd w:val="0"/>
        <w:snapToGrid w:val="0"/>
        <w:ind w:left="0" w:right="0"/>
        <w:jc w:val="left"/>
        <w:rPr>
          <w:b/>
          <w:sz w:val="22"/>
          <w:szCs w:val="22"/>
          <w:lang w:eastAsia="en-GB"/>
        </w:rPr>
      </w:pPr>
      <w:r w:rsidRPr="00A86BDC">
        <w:rPr>
          <w:b/>
          <w:sz w:val="22"/>
          <w:szCs w:val="22"/>
          <w:lang w:eastAsia="en-GB"/>
        </w:rPr>
        <w:lastRenderedPageBreak/>
        <w:t>The Seven dimensions of statistical capabilities</w:t>
      </w:r>
    </w:p>
    <w:p w:rsidR="00910BF7" w:rsidRPr="00421AE6" w:rsidRDefault="00910BF7" w:rsidP="00A86BDC">
      <w:pPr>
        <w:tabs>
          <w:tab w:val="left" w:pos="1620"/>
          <w:tab w:val="left" w:pos="1701"/>
        </w:tabs>
        <w:adjustRightInd w:val="0"/>
        <w:snapToGrid w:val="0"/>
        <w:jc w:val="center"/>
        <w:rPr>
          <w:sz w:val="24"/>
          <w:szCs w:val="24"/>
          <w:lang w:eastAsia="en-GB"/>
        </w:rPr>
      </w:pPr>
      <w:r>
        <w:rPr>
          <w:noProof/>
          <w:sz w:val="24"/>
          <w:szCs w:val="24"/>
          <w:lang w:eastAsia="en-GB"/>
        </w:rPr>
        <w:drawing>
          <wp:inline distT="0" distB="0" distL="0" distR="0">
            <wp:extent cx="3390900" cy="28792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94307" cy="2882148"/>
                    </a:xfrm>
                    <a:prstGeom prst="rect">
                      <a:avLst/>
                    </a:prstGeom>
                    <a:noFill/>
                  </pic:spPr>
                </pic:pic>
              </a:graphicData>
            </a:graphic>
          </wp:inline>
        </w:drawing>
      </w:r>
    </w:p>
    <w:p w:rsidR="00910BF7" w:rsidRDefault="00910BF7" w:rsidP="00A86BDC">
      <w:pPr>
        <w:tabs>
          <w:tab w:val="left" w:pos="1620"/>
          <w:tab w:val="left" w:pos="1701"/>
        </w:tabs>
        <w:adjustRightInd w:val="0"/>
        <w:snapToGrid w:val="0"/>
        <w:jc w:val="both"/>
        <w:rPr>
          <w:sz w:val="24"/>
          <w:szCs w:val="24"/>
          <w:lang w:eastAsia="en-GB"/>
        </w:rPr>
      </w:pPr>
    </w:p>
    <w:p w:rsidR="00910BF7" w:rsidRDefault="00910BF7" w:rsidP="00A86BDC">
      <w:pPr>
        <w:pStyle w:val="SingleTxtG"/>
        <w:numPr>
          <w:ilvl w:val="0"/>
          <w:numId w:val="27"/>
        </w:numPr>
        <w:adjustRightInd w:val="0"/>
        <w:snapToGrid w:val="0"/>
        <w:ind w:left="0" w:right="0" w:firstLine="0"/>
        <w:rPr>
          <w:lang w:eastAsia="en-GB"/>
        </w:rPr>
      </w:pPr>
      <w:r w:rsidRPr="004C2BE7">
        <w:rPr>
          <w:lang w:eastAsia="en-GB"/>
        </w:rPr>
        <w:t>To improve a capability in a statistical organisation, it is usually necessary to address several of these dimensions. For example, in the case of seasonal adjustment, just training people, or providing a software tool, will not be sufficient to ensure that the organisation has that capability. Capacity development has to take a more holistic approach, taking all seven dimensions into account.</w:t>
      </w:r>
    </w:p>
    <w:p w:rsidR="00910BF7" w:rsidRPr="00BC2FE0" w:rsidRDefault="00910BF7" w:rsidP="00A86BDC">
      <w:pPr>
        <w:pStyle w:val="SingleTxtG"/>
        <w:numPr>
          <w:ilvl w:val="0"/>
          <w:numId w:val="27"/>
        </w:numPr>
        <w:adjustRightInd w:val="0"/>
        <w:snapToGrid w:val="0"/>
        <w:ind w:left="0" w:right="0" w:firstLine="0"/>
        <w:rPr>
          <w:b/>
          <w:lang w:eastAsia="en-GB"/>
        </w:rPr>
      </w:pPr>
      <w:r w:rsidRPr="00BC2FE0">
        <w:rPr>
          <w:lang w:eastAsia="en-GB"/>
        </w:rPr>
        <w:t>For any capability (such as seasonal adjustment) it is possible to assess the current level of an organisation, and to identify a desired future level. This assessment can be broken down by the capability dimensions shown above, to identify which of the dimensions are priorities for investment and capacity development. The “maturity model” approach can be a useful management tool for this purpose. The use of maturity models is explained and illustrated in the annex.</w:t>
      </w:r>
    </w:p>
    <w:p w:rsidR="00910BF7" w:rsidRPr="00590DA1" w:rsidRDefault="00910BF7" w:rsidP="00A86BDC">
      <w:pPr>
        <w:pStyle w:val="HChG"/>
        <w:adjustRightInd w:val="0"/>
        <w:snapToGrid w:val="0"/>
        <w:ind w:left="0" w:right="0" w:firstLine="0"/>
        <w:rPr>
          <w:lang w:eastAsia="en-GB"/>
        </w:rPr>
      </w:pPr>
      <w:r w:rsidRPr="00590DA1">
        <w:rPr>
          <w:lang w:eastAsia="en-GB"/>
        </w:rPr>
        <w:t>V.</w:t>
      </w:r>
      <w:r w:rsidR="00A86BDC">
        <w:rPr>
          <w:lang w:eastAsia="en-GB"/>
        </w:rPr>
        <w:t xml:space="preserve">     </w:t>
      </w:r>
      <w:r w:rsidR="00343E0D">
        <w:rPr>
          <w:lang w:eastAsia="en-GB"/>
        </w:rPr>
        <w:tab/>
      </w:r>
      <w:r>
        <w:rPr>
          <w:lang w:eastAsia="en-GB"/>
        </w:rPr>
        <w:t>I</w:t>
      </w:r>
      <w:r w:rsidR="00343E0D">
        <w:rPr>
          <w:lang w:eastAsia="en-GB"/>
        </w:rPr>
        <w:t>mplementing the strategy</w:t>
      </w:r>
    </w:p>
    <w:p w:rsidR="00910BF7" w:rsidRDefault="00910BF7" w:rsidP="00A86BDC">
      <w:pPr>
        <w:pStyle w:val="SingleTxtG"/>
        <w:numPr>
          <w:ilvl w:val="0"/>
          <w:numId w:val="27"/>
        </w:numPr>
        <w:adjustRightInd w:val="0"/>
        <w:snapToGrid w:val="0"/>
        <w:ind w:left="0" w:right="0" w:firstLine="0"/>
        <w:rPr>
          <w:lang w:eastAsia="en-GB"/>
        </w:rPr>
      </w:pPr>
      <w:r w:rsidRPr="00590DA1">
        <w:rPr>
          <w:lang w:eastAsia="en-GB"/>
        </w:rPr>
        <w:t xml:space="preserve">The </w:t>
      </w:r>
      <w:r>
        <w:rPr>
          <w:lang w:eastAsia="en-GB"/>
        </w:rPr>
        <w:t>first concrete step towards implementing the strategy will be to put in place a mechanism for gathering national priorities on an on-going basis. This will build on the information obtained during the electronic consultation of the strategy with the members of the Conference of European Statisticians, as well as:</w:t>
      </w:r>
    </w:p>
    <w:p w:rsidR="00910BF7" w:rsidRDefault="00343E0D" w:rsidP="00A86BDC">
      <w:pPr>
        <w:pStyle w:val="SingleTxtG"/>
        <w:adjustRightInd w:val="0"/>
        <w:snapToGrid w:val="0"/>
        <w:ind w:left="0" w:right="0"/>
        <w:rPr>
          <w:lang w:eastAsia="en-GB"/>
        </w:rPr>
      </w:pPr>
      <w:r>
        <w:rPr>
          <w:lang w:eastAsia="en-GB"/>
        </w:rPr>
        <w:tab/>
        <w:t>(a)</w:t>
      </w:r>
      <w:r>
        <w:rPr>
          <w:lang w:eastAsia="en-GB"/>
        </w:rPr>
        <w:tab/>
      </w:r>
      <w:r w:rsidR="00910BF7">
        <w:rPr>
          <w:lang w:eastAsia="en-GB"/>
        </w:rPr>
        <w:t xml:space="preserve">Information from the global survey of capacity development needs in the context of statistics for SDGs, conducted by PARIS21 and the </w:t>
      </w:r>
      <w:r w:rsidR="00910BF7" w:rsidRPr="00590DA1">
        <w:rPr>
          <w:lang w:eastAsia="en-GB"/>
        </w:rPr>
        <w:t>High-level Group for Partnership, Coordination and Capacity-Building for statistics for the 2030 Agenda for Sustainable Development (HLG-PCCB)</w:t>
      </w:r>
      <w:r>
        <w:rPr>
          <w:lang w:eastAsia="en-GB"/>
        </w:rPr>
        <w:t>;</w:t>
      </w:r>
    </w:p>
    <w:p w:rsidR="00910BF7" w:rsidRDefault="00343E0D" w:rsidP="00A86BDC">
      <w:pPr>
        <w:pStyle w:val="SingleTxtG"/>
        <w:adjustRightInd w:val="0"/>
        <w:snapToGrid w:val="0"/>
        <w:ind w:left="0" w:right="0"/>
        <w:rPr>
          <w:lang w:eastAsia="en-GB"/>
        </w:rPr>
      </w:pPr>
      <w:r>
        <w:rPr>
          <w:lang w:eastAsia="en-GB"/>
        </w:rPr>
        <w:tab/>
        <w:t>(b)</w:t>
      </w:r>
      <w:r>
        <w:rPr>
          <w:lang w:eastAsia="en-GB"/>
        </w:rPr>
        <w:tab/>
      </w:r>
      <w:r w:rsidR="00910BF7">
        <w:rPr>
          <w:lang w:eastAsia="en-GB"/>
        </w:rPr>
        <w:t>Recommendations from the Global Assessments of National Statistical Systems conducted jointly be UNECE, Eurostat and EFTA</w:t>
      </w:r>
      <w:r>
        <w:rPr>
          <w:lang w:eastAsia="en-GB"/>
        </w:rPr>
        <w:t>;</w:t>
      </w:r>
    </w:p>
    <w:p w:rsidR="00910BF7" w:rsidRDefault="00343E0D" w:rsidP="00A86BDC">
      <w:pPr>
        <w:pStyle w:val="SingleTxtG"/>
        <w:adjustRightInd w:val="0"/>
        <w:snapToGrid w:val="0"/>
        <w:ind w:left="0" w:right="0"/>
        <w:rPr>
          <w:lang w:eastAsia="en-GB"/>
        </w:rPr>
      </w:pPr>
      <w:r>
        <w:rPr>
          <w:lang w:eastAsia="en-GB"/>
        </w:rPr>
        <w:tab/>
        <w:t>(c)</w:t>
      </w:r>
      <w:r>
        <w:rPr>
          <w:lang w:eastAsia="en-GB"/>
        </w:rPr>
        <w:tab/>
      </w:r>
      <w:r w:rsidR="00910BF7">
        <w:rPr>
          <w:lang w:eastAsia="en-GB"/>
        </w:rPr>
        <w:t>Needs identified by UNECE expert groups and through existing capacity development activities</w:t>
      </w:r>
      <w:r>
        <w:rPr>
          <w:lang w:eastAsia="en-GB"/>
        </w:rPr>
        <w:t>.</w:t>
      </w:r>
    </w:p>
    <w:p w:rsidR="00910BF7" w:rsidRDefault="00910BF7" w:rsidP="00A86BDC">
      <w:pPr>
        <w:pStyle w:val="SingleTxtG"/>
        <w:numPr>
          <w:ilvl w:val="0"/>
          <w:numId w:val="27"/>
        </w:numPr>
        <w:adjustRightInd w:val="0"/>
        <w:snapToGrid w:val="0"/>
        <w:ind w:left="0" w:right="0" w:firstLine="0"/>
        <w:rPr>
          <w:lang w:eastAsia="en-GB"/>
        </w:rPr>
      </w:pPr>
      <w:r w:rsidRPr="009868D1">
        <w:rPr>
          <w:lang w:eastAsia="en-GB"/>
        </w:rPr>
        <w:t xml:space="preserve">National priorities will be assessed </w:t>
      </w:r>
      <w:r>
        <w:rPr>
          <w:lang w:eastAsia="en-GB"/>
        </w:rPr>
        <w:t>using</w:t>
      </w:r>
      <w:r w:rsidRPr="009868D1">
        <w:rPr>
          <w:lang w:eastAsia="en-GB"/>
        </w:rPr>
        <w:t xml:space="preserve"> the principles set out in the strategy, to see how the identified needs can be most efficiently addressed</w:t>
      </w:r>
      <w:r w:rsidR="00F86003">
        <w:rPr>
          <w:lang w:eastAsia="en-GB"/>
        </w:rPr>
        <w:t>. Demand for capacity development will be matched with supply, i.e. the ability for the UNECE and/or partner organisations to provide the necessary support</w:t>
      </w:r>
      <w:r w:rsidRPr="009868D1">
        <w:rPr>
          <w:lang w:eastAsia="en-GB"/>
        </w:rPr>
        <w:t>.</w:t>
      </w:r>
    </w:p>
    <w:p w:rsidR="00343E0D" w:rsidRDefault="00343E0D" w:rsidP="00A86BDC">
      <w:pPr>
        <w:suppressAutoHyphens w:val="0"/>
        <w:adjustRightInd w:val="0"/>
        <w:snapToGrid w:val="0"/>
        <w:spacing w:line="240" w:lineRule="auto"/>
        <w:rPr>
          <w:lang w:eastAsia="en-GB"/>
        </w:rPr>
      </w:pPr>
      <w:r>
        <w:rPr>
          <w:lang w:eastAsia="en-GB"/>
        </w:rPr>
        <w:br w:type="page"/>
      </w:r>
    </w:p>
    <w:p w:rsidR="00343E0D" w:rsidRPr="00C3700E" w:rsidRDefault="00343E0D" w:rsidP="00A86BDC">
      <w:pPr>
        <w:pStyle w:val="HChG"/>
        <w:adjustRightInd w:val="0"/>
        <w:snapToGrid w:val="0"/>
        <w:ind w:left="0" w:right="0" w:firstLine="0"/>
        <w:rPr>
          <w:sz w:val="24"/>
        </w:rPr>
      </w:pPr>
      <w:r>
        <w:rPr>
          <w:lang w:eastAsia="en-GB"/>
        </w:rPr>
        <w:lastRenderedPageBreak/>
        <w:t>Annex</w:t>
      </w:r>
      <w:r w:rsidR="00A86BDC">
        <w:rPr>
          <w:lang w:eastAsia="en-GB"/>
        </w:rPr>
        <w:t xml:space="preserve"> - </w:t>
      </w:r>
      <w:r w:rsidRPr="00C3700E">
        <w:t xml:space="preserve">Capabilities and </w:t>
      </w:r>
      <w:r w:rsidR="0062781B" w:rsidRPr="00C3700E">
        <w:t>maturity models</w:t>
      </w:r>
    </w:p>
    <w:p w:rsidR="00343E0D" w:rsidRPr="00C3700E" w:rsidRDefault="00343E0D" w:rsidP="00A86BDC">
      <w:pPr>
        <w:pStyle w:val="H1G"/>
        <w:adjustRightInd w:val="0"/>
        <w:snapToGrid w:val="0"/>
        <w:ind w:left="0" w:right="0" w:firstLine="0"/>
      </w:pPr>
      <w:bookmarkStart w:id="0" w:name="scroll-bookmark-1"/>
      <w:bookmarkStart w:id="1" w:name="scroll-bookmark-2"/>
      <w:bookmarkEnd w:id="0"/>
      <w:r>
        <w:t>A.</w:t>
      </w:r>
      <w:r w:rsidR="00A86BDC">
        <w:t xml:space="preserve">     </w:t>
      </w:r>
      <w:r>
        <w:tab/>
      </w:r>
      <w:r w:rsidRPr="00C3700E">
        <w:t>What is a capability?</w:t>
      </w:r>
      <w:bookmarkEnd w:id="1"/>
    </w:p>
    <w:p w:rsidR="00343E0D" w:rsidRPr="00343E0D" w:rsidRDefault="00343E0D" w:rsidP="00A86BDC">
      <w:pPr>
        <w:pStyle w:val="SingleTxtG"/>
        <w:numPr>
          <w:ilvl w:val="0"/>
          <w:numId w:val="30"/>
        </w:numPr>
        <w:adjustRightInd w:val="0"/>
        <w:snapToGrid w:val="0"/>
        <w:ind w:left="0" w:right="0" w:firstLine="0"/>
      </w:pPr>
      <w:r w:rsidRPr="00C3700E">
        <w:t xml:space="preserve">A capability is defined as "The ability that an organisation, person, or system possesses. Capabilities typically require a combination of organisation, people, processes, and technology to achieve” (Source: The Open Group Architecture Framework v9.1 - </w:t>
      </w:r>
      <w:hyperlink r:id="rId9" w:history="1">
        <w:r w:rsidRPr="00343E0D">
          <w:rPr>
            <w:rStyle w:val="Hyperlink"/>
          </w:rPr>
          <w:t>http://pubs.opengroup.org/architecture/togaf9-doc/arch/chap03.html</w:t>
        </w:r>
      </w:hyperlink>
      <w:r w:rsidRPr="00343E0D">
        <w:t>).</w:t>
      </w:r>
    </w:p>
    <w:p w:rsidR="00343E0D" w:rsidRPr="00C3700E" w:rsidRDefault="00343E0D" w:rsidP="00A86BDC">
      <w:pPr>
        <w:pStyle w:val="SingleTxtG"/>
        <w:numPr>
          <w:ilvl w:val="0"/>
          <w:numId w:val="30"/>
        </w:numPr>
        <w:adjustRightInd w:val="0"/>
        <w:snapToGrid w:val="0"/>
        <w:ind w:left="0" w:right="0" w:firstLine="0"/>
      </w:pPr>
      <w:r w:rsidRPr="00C3700E">
        <w:t xml:space="preserve">Practical examples of capabilities in statistical organisations </w:t>
      </w:r>
      <w:r>
        <w:t>include</w:t>
      </w:r>
      <w:r w:rsidRPr="00C3700E">
        <w:t xml:space="preserve"> seasonal adjustment</w:t>
      </w:r>
      <w:r>
        <w:t xml:space="preserve">, </w:t>
      </w:r>
      <w:r w:rsidRPr="00C3700E">
        <w:t>internet data collection</w:t>
      </w:r>
      <w:r>
        <w:t>, web dissemination, data editing, questionnaire design, etc</w:t>
      </w:r>
      <w:r w:rsidRPr="00C3700E">
        <w:t>. The idea of capabilities can also be applied to implementation of statistical standards.</w:t>
      </w:r>
      <w:r w:rsidR="005B0217">
        <w:t xml:space="preserve"> </w:t>
      </w:r>
      <w:r w:rsidR="005B0217">
        <w:rPr>
          <w:lang w:eastAsia="en-GB"/>
        </w:rPr>
        <w:t>Capabilities can be defined in terms of frameworks such as the Generic Statistical Business Process Model (GSBPM) or the Generic Activity Model for Statistical Organisations (GAMSO).</w:t>
      </w:r>
    </w:p>
    <w:p w:rsidR="00343E0D" w:rsidRDefault="00343E0D" w:rsidP="00A86BDC">
      <w:pPr>
        <w:pStyle w:val="SingleTxtG"/>
        <w:numPr>
          <w:ilvl w:val="0"/>
          <w:numId w:val="30"/>
        </w:numPr>
        <w:adjustRightInd w:val="0"/>
        <w:snapToGrid w:val="0"/>
        <w:ind w:left="0" w:right="0" w:firstLine="0"/>
      </w:pPr>
      <w:bookmarkStart w:id="2" w:name="scroll-bookmark-3"/>
      <w:r w:rsidRPr="00C3700E">
        <w:t xml:space="preserve">What are the dimensions of </w:t>
      </w:r>
      <w:r>
        <w:t xml:space="preserve">statistical </w:t>
      </w:r>
      <w:r w:rsidRPr="00C3700E">
        <w:t>capabilities?</w:t>
      </w:r>
      <w:bookmarkEnd w:id="2"/>
      <w:r w:rsidR="00D529CD" w:rsidRPr="00C3700E">
        <w:t xml:space="preserve"> </w:t>
      </w:r>
      <w:r w:rsidRPr="00C3700E">
        <w:t xml:space="preserve">As the definition says, capabilities require combinations of factors or dimensions – rather like the economic concept of factors of production (land, labour, capital). </w:t>
      </w:r>
    </w:p>
    <w:p w:rsidR="00EE7A29" w:rsidRDefault="00EE7A29" w:rsidP="00A86BDC">
      <w:pPr>
        <w:pStyle w:val="SingleTxtG"/>
        <w:adjustRightInd w:val="0"/>
        <w:snapToGrid w:val="0"/>
        <w:spacing w:after="0"/>
        <w:ind w:left="0" w:right="0"/>
      </w:pPr>
      <w:r>
        <w:t xml:space="preserve">Figure </w:t>
      </w:r>
      <w:r w:rsidR="00D529CD">
        <w:t>I</w:t>
      </w:r>
    </w:p>
    <w:p w:rsidR="00EE7A29" w:rsidRDefault="0059694D" w:rsidP="00A86BDC">
      <w:pPr>
        <w:pStyle w:val="SingleTxtG"/>
        <w:adjustRightInd w:val="0"/>
        <w:snapToGrid w:val="0"/>
        <w:ind w:left="0" w:right="0"/>
      </w:pPr>
      <w:r w:rsidRPr="0059694D">
        <w:rPr>
          <w:noProof/>
          <w:sz w:val="24"/>
          <w:szCs w:val="24"/>
          <w:lang w:eastAsia="en-GB"/>
        </w:rPr>
        <w:drawing>
          <wp:anchor distT="0" distB="0" distL="114300" distR="114300" simplePos="0" relativeHeight="251658240" behindDoc="0" locked="0" layoutInCell="1" allowOverlap="1">
            <wp:simplePos x="0" y="0"/>
            <wp:positionH relativeFrom="column">
              <wp:posOffset>72390</wp:posOffset>
            </wp:positionH>
            <wp:positionV relativeFrom="paragraph">
              <wp:posOffset>203835</wp:posOffset>
            </wp:positionV>
            <wp:extent cx="5963288" cy="441960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r="29763"/>
                    <a:stretch/>
                  </pic:blipFill>
                  <pic:spPr bwMode="auto">
                    <a:xfrm>
                      <a:off x="0" y="0"/>
                      <a:ext cx="5984306" cy="4435177"/>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E7A29">
        <w:rPr>
          <w:b/>
        </w:rPr>
        <w:t>F</w:t>
      </w:r>
      <w:r w:rsidR="00EE7A29" w:rsidRPr="00EE7A29">
        <w:rPr>
          <w:b/>
        </w:rPr>
        <w:t>ull set of dimensions for statistical capabilities</w:t>
      </w:r>
      <w:r w:rsidR="00EE7A29" w:rsidRPr="00C3700E">
        <w:t xml:space="preserve"> </w:t>
      </w:r>
    </w:p>
    <w:tbl>
      <w:tblPr>
        <w:tblW w:w="7452" w:type="dxa"/>
        <w:tblInd w:w="1242" w:type="dxa"/>
        <w:tblLook w:val="04A0" w:firstRow="1" w:lastRow="0" w:firstColumn="1" w:lastColumn="0" w:noHBand="0" w:noVBand="1"/>
      </w:tblPr>
      <w:tblGrid>
        <w:gridCol w:w="7230"/>
        <w:gridCol w:w="222"/>
      </w:tblGrid>
      <w:tr w:rsidR="00343E0D" w:rsidRPr="00E97F16" w:rsidTr="00343E0D">
        <w:tc>
          <w:tcPr>
            <w:tcW w:w="7230" w:type="dxa"/>
            <w:shd w:val="clear" w:color="auto" w:fill="auto"/>
          </w:tcPr>
          <w:p w:rsidR="00343E0D" w:rsidRPr="00E97F16" w:rsidRDefault="00343E0D" w:rsidP="00A86BDC">
            <w:pPr>
              <w:adjustRightInd w:val="0"/>
              <w:snapToGrid w:val="0"/>
              <w:rPr>
                <w:sz w:val="24"/>
                <w:szCs w:val="24"/>
              </w:rPr>
            </w:pPr>
          </w:p>
        </w:tc>
        <w:tc>
          <w:tcPr>
            <w:tcW w:w="222" w:type="dxa"/>
            <w:shd w:val="clear" w:color="auto" w:fill="auto"/>
          </w:tcPr>
          <w:p w:rsidR="00343E0D" w:rsidRDefault="00343E0D" w:rsidP="00A86BDC">
            <w:pPr>
              <w:adjustRightInd w:val="0"/>
              <w:snapToGrid w:val="0"/>
              <w:rPr>
                <w:sz w:val="24"/>
                <w:szCs w:val="24"/>
              </w:rPr>
            </w:pPr>
          </w:p>
          <w:p w:rsidR="00343E0D" w:rsidRDefault="00343E0D" w:rsidP="00A86BDC">
            <w:pPr>
              <w:adjustRightInd w:val="0"/>
              <w:snapToGrid w:val="0"/>
              <w:rPr>
                <w:sz w:val="24"/>
                <w:szCs w:val="24"/>
              </w:rPr>
            </w:pPr>
          </w:p>
          <w:p w:rsidR="00343E0D" w:rsidRDefault="00343E0D" w:rsidP="00A86BDC">
            <w:pPr>
              <w:adjustRightInd w:val="0"/>
              <w:snapToGrid w:val="0"/>
              <w:rPr>
                <w:sz w:val="24"/>
                <w:szCs w:val="24"/>
              </w:rPr>
            </w:pPr>
          </w:p>
          <w:p w:rsidR="00343E0D" w:rsidRDefault="00343E0D" w:rsidP="00A86BDC">
            <w:pPr>
              <w:adjustRightInd w:val="0"/>
              <w:snapToGrid w:val="0"/>
              <w:rPr>
                <w:sz w:val="24"/>
                <w:szCs w:val="24"/>
              </w:rPr>
            </w:pPr>
          </w:p>
          <w:p w:rsidR="00343E0D" w:rsidRDefault="00343E0D" w:rsidP="00A86BDC">
            <w:pPr>
              <w:adjustRightInd w:val="0"/>
              <w:snapToGrid w:val="0"/>
              <w:rPr>
                <w:sz w:val="24"/>
                <w:szCs w:val="24"/>
              </w:rPr>
            </w:pPr>
          </w:p>
          <w:p w:rsidR="00343E0D" w:rsidRDefault="00343E0D" w:rsidP="00A86BDC">
            <w:pPr>
              <w:adjustRightInd w:val="0"/>
              <w:snapToGrid w:val="0"/>
              <w:rPr>
                <w:sz w:val="24"/>
                <w:szCs w:val="24"/>
              </w:rPr>
            </w:pPr>
          </w:p>
          <w:p w:rsidR="00343E0D" w:rsidRDefault="00343E0D" w:rsidP="00A86BDC">
            <w:pPr>
              <w:adjustRightInd w:val="0"/>
              <w:snapToGrid w:val="0"/>
              <w:rPr>
                <w:sz w:val="24"/>
                <w:szCs w:val="24"/>
              </w:rPr>
            </w:pPr>
          </w:p>
          <w:p w:rsidR="00343E0D" w:rsidRDefault="00343E0D" w:rsidP="00A86BDC">
            <w:pPr>
              <w:adjustRightInd w:val="0"/>
              <w:snapToGrid w:val="0"/>
              <w:rPr>
                <w:sz w:val="24"/>
                <w:szCs w:val="24"/>
              </w:rPr>
            </w:pPr>
          </w:p>
          <w:p w:rsidR="00343E0D" w:rsidRDefault="00343E0D" w:rsidP="00A86BDC">
            <w:pPr>
              <w:adjustRightInd w:val="0"/>
              <w:snapToGrid w:val="0"/>
              <w:rPr>
                <w:sz w:val="24"/>
                <w:szCs w:val="24"/>
              </w:rPr>
            </w:pPr>
          </w:p>
          <w:p w:rsidR="00343E0D" w:rsidRDefault="00343E0D" w:rsidP="00A86BDC">
            <w:pPr>
              <w:adjustRightInd w:val="0"/>
              <w:snapToGrid w:val="0"/>
              <w:rPr>
                <w:sz w:val="24"/>
                <w:szCs w:val="24"/>
              </w:rPr>
            </w:pPr>
          </w:p>
          <w:p w:rsidR="00343E0D" w:rsidRDefault="00343E0D" w:rsidP="00A86BDC">
            <w:pPr>
              <w:adjustRightInd w:val="0"/>
              <w:snapToGrid w:val="0"/>
              <w:rPr>
                <w:sz w:val="24"/>
                <w:szCs w:val="24"/>
              </w:rPr>
            </w:pPr>
          </w:p>
          <w:p w:rsidR="00343E0D" w:rsidRDefault="00343E0D" w:rsidP="00A86BDC">
            <w:pPr>
              <w:adjustRightInd w:val="0"/>
              <w:snapToGrid w:val="0"/>
              <w:rPr>
                <w:sz w:val="24"/>
                <w:szCs w:val="24"/>
              </w:rPr>
            </w:pPr>
          </w:p>
          <w:p w:rsidR="00343E0D" w:rsidRDefault="00343E0D" w:rsidP="00A86BDC">
            <w:pPr>
              <w:adjustRightInd w:val="0"/>
              <w:snapToGrid w:val="0"/>
              <w:rPr>
                <w:sz w:val="24"/>
                <w:szCs w:val="24"/>
              </w:rPr>
            </w:pPr>
          </w:p>
          <w:p w:rsidR="00343E0D" w:rsidRDefault="00343E0D" w:rsidP="00A86BDC">
            <w:pPr>
              <w:adjustRightInd w:val="0"/>
              <w:snapToGrid w:val="0"/>
              <w:rPr>
                <w:sz w:val="24"/>
                <w:szCs w:val="24"/>
              </w:rPr>
            </w:pPr>
          </w:p>
          <w:p w:rsidR="00343E0D" w:rsidRDefault="00343E0D" w:rsidP="00A86BDC">
            <w:pPr>
              <w:adjustRightInd w:val="0"/>
              <w:snapToGrid w:val="0"/>
              <w:rPr>
                <w:sz w:val="24"/>
                <w:szCs w:val="24"/>
              </w:rPr>
            </w:pPr>
          </w:p>
          <w:p w:rsidR="00343E0D" w:rsidRDefault="00343E0D" w:rsidP="00A86BDC">
            <w:pPr>
              <w:adjustRightInd w:val="0"/>
              <w:snapToGrid w:val="0"/>
              <w:rPr>
                <w:sz w:val="24"/>
                <w:szCs w:val="24"/>
              </w:rPr>
            </w:pPr>
          </w:p>
          <w:p w:rsidR="00343E0D" w:rsidRDefault="00343E0D" w:rsidP="00A86BDC">
            <w:pPr>
              <w:adjustRightInd w:val="0"/>
              <w:snapToGrid w:val="0"/>
              <w:rPr>
                <w:sz w:val="24"/>
                <w:szCs w:val="24"/>
              </w:rPr>
            </w:pPr>
          </w:p>
          <w:p w:rsidR="00343E0D" w:rsidRPr="00E97F16" w:rsidRDefault="00343E0D" w:rsidP="00A86BDC">
            <w:pPr>
              <w:adjustRightInd w:val="0"/>
              <w:snapToGrid w:val="0"/>
              <w:rPr>
                <w:sz w:val="24"/>
                <w:szCs w:val="24"/>
              </w:rPr>
            </w:pPr>
          </w:p>
        </w:tc>
      </w:tr>
    </w:tbl>
    <w:p w:rsidR="00343E0D" w:rsidRDefault="00343E0D" w:rsidP="00A86BDC">
      <w:pPr>
        <w:adjustRightInd w:val="0"/>
        <w:snapToGrid w:val="0"/>
      </w:pPr>
    </w:p>
    <w:p w:rsidR="0059694D" w:rsidRDefault="0059694D" w:rsidP="00A86BDC">
      <w:pPr>
        <w:pStyle w:val="SingleTxtG"/>
        <w:adjustRightInd w:val="0"/>
        <w:snapToGrid w:val="0"/>
        <w:ind w:left="0" w:right="0"/>
      </w:pPr>
    </w:p>
    <w:p w:rsidR="0059694D" w:rsidRDefault="0059694D" w:rsidP="00A86BDC">
      <w:pPr>
        <w:pStyle w:val="SingleTxtG"/>
        <w:adjustRightInd w:val="0"/>
        <w:snapToGrid w:val="0"/>
        <w:ind w:left="0" w:right="0"/>
      </w:pPr>
    </w:p>
    <w:p w:rsidR="00A86BDC" w:rsidRDefault="00A86BDC" w:rsidP="00A86BDC">
      <w:pPr>
        <w:pStyle w:val="SingleTxtG"/>
        <w:adjustRightInd w:val="0"/>
        <w:snapToGrid w:val="0"/>
        <w:ind w:left="0" w:right="0"/>
      </w:pPr>
    </w:p>
    <w:p w:rsidR="00A86BDC" w:rsidRDefault="00A86BDC" w:rsidP="00A86BDC">
      <w:pPr>
        <w:pStyle w:val="SingleTxtG"/>
        <w:adjustRightInd w:val="0"/>
        <w:snapToGrid w:val="0"/>
        <w:ind w:left="0" w:right="0"/>
      </w:pPr>
    </w:p>
    <w:p w:rsidR="00A86BDC" w:rsidRDefault="00A86BDC" w:rsidP="00A86BDC">
      <w:pPr>
        <w:pStyle w:val="SingleTxtG"/>
        <w:adjustRightInd w:val="0"/>
        <w:snapToGrid w:val="0"/>
        <w:ind w:left="0" w:right="0"/>
      </w:pPr>
    </w:p>
    <w:p w:rsidR="00343E0D" w:rsidRPr="005D126F" w:rsidRDefault="00343E0D" w:rsidP="00A86BDC">
      <w:pPr>
        <w:pStyle w:val="SingleTxtG"/>
        <w:numPr>
          <w:ilvl w:val="0"/>
          <w:numId w:val="30"/>
        </w:numPr>
        <w:adjustRightInd w:val="0"/>
        <w:snapToGrid w:val="0"/>
        <w:ind w:left="0" w:right="0" w:firstLine="0"/>
      </w:pPr>
      <w:r w:rsidRPr="005D126F">
        <w:t xml:space="preserve">To </w:t>
      </w:r>
      <w:r>
        <w:t>improve</w:t>
      </w:r>
      <w:r w:rsidRPr="005D126F">
        <w:t xml:space="preserve"> a capability in a statistical organisation, it is usually necessary to address several of these dimensions. For example, in the case of seasonal adjustment, just training people, or providing a software tool, will not be sufficient to ensure that the organisation has that capability.</w:t>
      </w:r>
    </w:p>
    <w:p w:rsidR="00343E0D" w:rsidRPr="005D126F" w:rsidRDefault="00343E0D" w:rsidP="00A86BDC">
      <w:pPr>
        <w:pStyle w:val="SingleTxtG"/>
        <w:numPr>
          <w:ilvl w:val="0"/>
          <w:numId w:val="30"/>
        </w:numPr>
        <w:adjustRightInd w:val="0"/>
        <w:snapToGrid w:val="0"/>
        <w:ind w:left="0" w:right="0" w:firstLine="0"/>
        <w:rPr>
          <w:vanish/>
        </w:rPr>
      </w:pPr>
      <w:r w:rsidRPr="005D126F">
        <w:t>There will be some cases where one or more dimensions will not be relevant, in these cases those dimensions can be ignored.</w:t>
      </w:r>
    </w:p>
    <w:p w:rsidR="00343E0D" w:rsidRDefault="00343E0D" w:rsidP="00A86BDC">
      <w:pPr>
        <w:pStyle w:val="SingleTxtG"/>
        <w:adjustRightInd w:val="0"/>
        <w:snapToGrid w:val="0"/>
        <w:ind w:left="0" w:right="0"/>
      </w:pPr>
      <w:bookmarkStart w:id="3" w:name="scroll-bookmark-4"/>
    </w:p>
    <w:p w:rsidR="00343E0D" w:rsidRPr="00C3700E" w:rsidRDefault="00343E0D" w:rsidP="00A86BDC">
      <w:pPr>
        <w:pStyle w:val="H1G"/>
        <w:adjustRightInd w:val="0"/>
        <w:snapToGrid w:val="0"/>
        <w:ind w:left="0" w:right="0" w:firstLine="0"/>
      </w:pPr>
      <w:r>
        <w:lastRenderedPageBreak/>
        <w:t>B.</w:t>
      </w:r>
      <w:r w:rsidR="00A86BDC">
        <w:t xml:space="preserve">      </w:t>
      </w:r>
      <w:r>
        <w:tab/>
      </w:r>
      <w:r w:rsidRPr="00C3700E">
        <w:t>What is a maturity model?</w:t>
      </w:r>
      <w:bookmarkEnd w:id="3"/>
    </w:p>
    <w:p w:rsidR="00343E0D" w:rsidRDefault="00343E0D" w:rsidP="00A86BDC">
      <w:pPr>
        <w:pStyle w:val="SingleTxtG"/>
        <w:numPr>
          <w:ilvl w:val="0"/>
          <w:numId w:val="30"/>
        </w:numPr>
        <w:adjustRightInd w:val="0"/>
        <w:snapToGrid w:val="0"/>
        <w:ind w:left="0" w:right="0" w:firstLine="0"/>
      </w:pPr>
      <w:r w:rsidRPr="00C3700E">
        <w:t xml:space="preserve">A maturity model is a self-assessment tool to help an organisation understand the extent to which it has developed a capability or implemented a standard. In other words, it helps the organisation to understand its level of </w:t>
      </w:r>
      <w:r>
        <w:t>“</w:t>
      </w:r>
      <w:r w:rsidRPr="00C3700E">
        <w:t>organisational maturity</w:t>
      </w:r>
      <w:r>
        <w:t>”</w:t>
      </w:r>
      <w:r w:rsidRPr="00C3700E">
        <w:t xml:space="preserve"> with respect to that capability or standard. Maturity models are tables where the columns show the maturity levels and the rows show the maturity dimensions</w:t>
      </w:r>
      <w:r w:rsidR="008158DB">
        <w:t xml:space="preserve"> (see Figure II)</w:t>
      </w:r>
      <w:r w:rsidRPr="00C3700E">
        <w:t xml:space="preserve">. The dimensions should be the same as </w:t>
      </w:r>
      <w:r>
        <w:t xml:space="preserve">those defined above </w:t>
      </w:r>
      <w:r w:rsidRPr="00C3700E">
        <w:t xml:space="preserve">for </w:t>
      </w:r>
      <w:r w:rsidRPr="005D126F">
        <w:t>capabilities (</w:t>
      </w:r>
      <w:r w:rsidRPr="005D126F">
        <w:rPr>
          <w:lang w:val="en-CA"/>
        </w:rPr>
        <w:t>technology, methods, information, people, processes, standards and frameworks, and institutional setting)</w:t>
      </w:r>
      <w:r w:rsidRPr="005D126F">
        <w:t>.</w:t>
      </w:r>
      <w:r w:rsidRPr="00C3700E">
        <w:t xml:space="preserve"> Depending on the type of capability or standard, one or more of the dimensions might not be relevant. If so, these dimensions can be ignored.</w:t>
      </w:r>
    </w:p>
    <w:p w:rsidR="007C3E19" w:rsidRDefault="007C3E19" w:rsidP="00A86BDC">
      <w:pPr>
        <w:pStyle w:val="SingleTxtG"/>
        <w:numPr>
          <w:ilvl w:val="0"/>
          <w:numId w:val="30"/>
        </w:numPr>
        <w:adjustRightInd w:val="0"/>
        <w:snapToGrid w:val="0"/>
        <w:ind w:left="0" w:right="0" w:firstLine="0"/>
      </w:pPr>
      <w:r>
        <w:t>Maturity l</w:t>
      </w:r>
      <w:r w:rsidR="008B4983">
        <w:t>evels may need to be defined specifically for different capabilities or standards, but the following generic definitions should be used as a starting point:</w:t>
      </w:r>
    </w:p>
    <w:p w:rsidR="008B4983" w:rsidRDefault="008B4983" w:rsidP="00A86BDC">
      <w:pPr>
        <w:pStyle w:val="SingleTxtG"/>
        <w:adjustRightInd w:val="0"/>
        <w:snapToGrid w:val="0"/>
        <w:ind w:left="0" w:right="0"/>
      </w:pPr>
      <w:r>
        <w:t>(a)</w:t>
      </w:r>
      <w:r>
        <w:tab/>
      </w:r>
      <w:r w:rsidRPr="008B4983">
        <w:t>Initial awareness</w:t>
      </w:r>
      <w:r>
        <w:t xml:space="preserve"> - A few people in the organisation are becoming interested in the potential value of developing the capability or implementing the standard. The organisation as a whole is unaware of the need for the capability or standard.</w:t>
      </w:r>
    </w:p>
    <w:p w:rsidR="008B4983" w:rsidRDefault="008B4983" w:rsidP="00A86BDC">
      <w:pPr>
        <w:pStyle w:val="SingleTxtG"/>
        <w:adjustRightInd w:val="0"/>
        <w:snapToGrid w:val="0"/>
        <w:ind w:left="0" w:right="0"/>
      </w:pPr>
      <w:r>
        <w:t>(b)</w:t>
      </w:r>
      <w:r>
        <w:tab/>
        <w:t>Pre-implementation - The capability or standard is considered experimental, and is limited to a few people or parts of the organisation. Some other parts of the organisation are becoming interested in the potential value of the capability or standard.</w:t>
      </w:r>
    </w:p>
    <w:p w:rsidR="008B4983" w:rsidRDefault="008B4983" w:rsidP="00A86BDC">
      <w:pPr>
        <w:pStyle w:val="SingleTxtG"/>
        <w:adjustRightInd w:val="0"/>
        <w:snapToGrid w:val="0"/>
        <w:ind w:left="0" w:right="0"/>
      </w:pPr>
      <w:r>
        <w:t>(c)</w:t>
      </w:r>
      <w:r>
        <w:tab/>
        <w:t>Early implementation - Awareness of the need for the capability or standard is spreading, but it is implemented in an inconsistent manner by different people or different parts of the organisation. An organisation-wide programme or strategy to implement the capability or standard is being prepared.</w:t>
      </w:r>
    </w:p>
    <w:p w:rsidR="008B4983" w:rsidRDefault="008B4983" w:rsidP="00A86BDC">
      <w:pPr>
        <w:pStyle w:val="SingleTxtG"/>
        <w:adjustRightInd w:val="0"/>
        <w:snapToGrid w:val="0"/>
        <w:ind w:left="0" w:right="0"/>
      </w:pPr>
      <w:r>
        <w:t>(d)</w:t>
      </w:r>
      <w:r>
        <w:tab/>
        <w:t>Corporate implementation - An organisation-wide programme or strategy for the capability or standard is in place. There is a widespread awareness of the need for the capability or standard, and it is implemented in a consistent manner across the organisation.</w:t>
      </w:r>
    </w:p>
    <w:p w:rsidR="008B4983" w:rsidRDefault="008B4983" w:rsidP="00A86BDC">
      <w:pPr>
        <w:pStyle w:val="SingleTxtG"/>
        <w:adjustRightInd w:val="0"/>
        <w:snapToGrid w:val="0"/>
        <w:ind w:left="0" w:right="0"/>
      </w:pPr>
      <w:r>
        <w:t>(e)</w:t>
      </w:r>
      <w:r>
        <w:tab/>
        <w:t>Mature implementation - The capability or standard is seen as an important part of the work of the organisation. It is delivering benefits throughout the organisation. The need for the capability or standard is well understood. It is integrated into the work of the organisation, and it is implemented in a consistent way throughout the organisation.</w:t>
      </w:r>
    </w:p>
    <w:p w:rsidR="00343E0D" w:rsidRPr="00C3700E" w:rsidRDefault="00343E0D" w:rsidP="00A86BDC">
      <w:pPr>
        <w:pStyle w:val="SingleTxtG"/>
        <w:numPr>
          <w:ilvl w:val="0"/>
          <w:numId w:val="30"/>
        </w:numPr>
        <w:adjustRightInd w:val="0"/>
        <w:snapToGrid w:val="0"/>
        <w:ind w:left="0" w:right="0" w:firstLine="0"/>
      </w:pPr>
      <w:r w:rsidRPr="00C3700E">
        <w:t xml:space="preserve">Each cell in the </w:t>
      </w:r>
      <w:r>
        <w:t xml:space="preserve">maturity model </w:t>
      </w:r>
      <w:r w:rsidRPr="00C3700E">
        <w:t xml:space="preserve">table should contain a </w:t>
      </w:r>
      <w:r>
        <w:t xml:space="preserve">short </w:t>
      </w:r>
      <w:r w:rsidRPr="00C3700E">
        <w:t>description of what that combination of maturity level and dimension means in practice. These descriptions will often be specific to each capability or standard.</w:t>
      </w:r>
    </w:p>
    <w:p w:rsidR="00343E0D" w:rsidRDefault="00343E0D" w:rsidP="00A86BDC">
      <w:pPr>
        <w:pStyle w:val="SingleTxtG"/>
        <w:numPr>
          <w:ilvl w:val="0"/>
          <w:numId w:val="30"/>
        </w:numPr>
        <w:adjustRightInd w:val="0"/>
        <w:snapToGrid w:val="0"/>
        <w:ind w:left="0" w:right="0" w:firstLine="0"/>
        <w:rPr>
          <w:color w:val="000000"/>
        </w:rPr>
      </w:pPr>
      <w:r w:rsidRPr="00C3700E">
        <w:rPr>
          <w:color w:val="000000"/>
        </w:rPr>
        <w:t>The idea of maturity models for official statistics has been adapted from the Open Group Service Integration Maturity Model (OSIMM)</w:t>
      </w:r>
      <w:r w:rsidRPr="0055685C">
        <w:rPr>
          <w:rStyle w:val="FootnoteReference"/>
          <w:color w:val="000000"/>
          <w:sz w:val="20"/>
          <w:szCs w:val="24"/>
        </w:rPr>
        <w:footnoteReference w:id="3"/>
      </w:r>
      <w:r w:rsidRPr="00C3700E">
        <w:rPr>
          <w:color w:val="000000"/>
        </w:rPr>
        <w:t xml:space="preserve">. Several pilot maturity models were developed under the </w:t>
      </w:r>
      <w:r>
        <w:rPr>
          <w:color w:val="000000"/>
        </w:rPr>
        <w:t xml:space="preserve">UNECE </w:t>
      </w:r>
      <w:r w:rsidRPr="00C3700E">
        <w:rPr>
          <w:color w:val="000000"/>
        </w:rPr>
        <w:t>High-</w:t>
      </w:r>
      <w:r>
        <w:rPr>
          <w:color w:val="000000"/>
        </w:rPr>
        <w:t>L</w:t>
      </w:r>
      <w:r w:rsidRPr="00C3700E">
        <w:rPr>
          <w:color w:val="000000"/>
        </w:rPr>
        <w:t>evel Group for the Modernisation of Official Statistics in 2016</w:t>
      </w:r>
      <w:r>
        <w:rPr>
          <w:color w:val="000000"/>
        </w:rPr>
        <w:t>, covering the implementation of the Generic Statistical Business Process Model and related standards, as well as risk management in statistical organisations</w:t>
      </w:r>
      <w:r w:rsidRPr="0055685C">
        <w:rPr>
          <w:rStyle w:val="FootnoteReference"/>
          <w:color w:val="000000"/>
          <w:sz w:val="20"/>
          <w:szCs w:val="24"/>
        </w:rPr>
        <w:footnoteReference w:id="4"/>
      </w:r>
      <w:r w:rsidRPr="00C3700E">
        <w:rPr>
          <w:color w:val="000000"/>
        </w:rPr>
        <w:t>.</w:t>
      </w:r>
      <w:r w:rsidR="00EA3EA9">
        <w:rPr>
          <w:color w:val="000000"/>
        </w:rPr>
        <w:t xml:space="preserve"> Two examples are given in Section D.</w:t>
      </w:r>
    </w:p>
    <w:p w:rsidR="00EA3EA9" w:rsidRDefault="00EA3EA9" w:rsidP="00A86BDC">
      <w:pPr>
        <w:suppressAutoHyphens w:val="0"/>
        <w:adjustRightInd w:val="0"/>
        <w:snapToGrid w:val="0"/>
        <w:spacing w:line="240" w:lineRule="auto"/>
        <w:rPr>
          <w:color w:val="000000"/>
        </w:rPr>
      </w:pPr>
      <w:r>
        <w:rPr>
          <w:color w:val="000000"/>
        </w:rPr>
        <w:br w:type="page"/>
      </w:r>
    </w:p>
    <w:p w:rsidR="00EE7A29" w:rsidRPr="00A86BDC" w:rsidRDefault="00EE7A29" w:rsidP="00A86BDC">
      <w:pPr>
        <w:pStyle w:val="SingleTxtG"/>
        <w:adjustRightInd w:val="0"/>
        <w:snapToGrid w:val="0"/>
        <w:spacing w:after="0"/>
        <w:ind w:left="0" w:right="0"/>
        <w:rPr>
          <w:b/>
          <w:bCs/>
          <w:color w:val="000000"/>
          <w:sz w:val="22"/>
          <w:szCs w:val="22"/>
        </w:rPr>
      </w:pPr>
      <w:r w:rsidRPr="00A86BDC">
        <w:rPr>
          <w:b/>
          <w:bCs/>
          <w:color w:val="000000"/>
          <w:sz w:val="22"/>
          <w:szCs w:val="22"/>
        </w:rPr>
        <w:lastRenderedPageBreak/>
        <w:t xml:space="preserve">Figure </w:t>
      </w:r>
      <w:r w:rsidR="00D529CD" w:rsidRPr="00A86BDC">
        <w:rPr>
          <w:b/>
          <w:bCs/>
          <w:color w:val="000000"/>
          <w:sz w:val="22"/>
          <w:szCs w:val="22"/>
        </w:rPr>
        <w:t>II</w:t>
      </w:r>
      <w:r w:rsidR="00A86BDC" w:rsidRPr="00A86BDC">
        <w:rPr>
          <w:b/>
          <w:bCs/>
          <w:color w:val="000000"/>
          <w:sz w:val="22"/>
          <w:szCs w:val="22"/>
        </w:rPr>
        <w:t xml:space="preserve">: </w:t>
      </w:r>
      <w:r w:rsidRPr="00A86BDC">
        <w:rPr>
          <w:b/>
          <w:bCs/>
          <w:color w:val="000000"/>
          <w:sz w:val="22"/>
          <w:szCs w:val="22"/>
        </w:rPr>
        <w:t>Maturity levels</w:t>
      </w:r>
    </w:p>
    <w:p w:rsidR="00A86BDC" w:rsidRPr="00EE7A29" w:rsidRDefault="00A86BDC" w:rsidP="00A86BDC">
      <w:pPr>
        <w:pStyle w:val="SingleTxtG"/>
        <w:adjustRightInd w:val="0"/>
        <w:snapToGrid w:val="0"/>
        <w:spacing w:after="0"/>
        <w:ind w:left="0" w:right="0"/>
        <w:rPr>
          <w:b/>
          <w:color w:val="000000"/>
        </w:rPr>
      </w:pPr>
    </w:p>
    <w:p w:rsidR="00343E0D" w:rsidRDefault="00343E0D" w:rsidP="00A86BDC">
      <w:pPr>
        <w:adjustRightInd w:val="0"/>
        <w:snapToGrid w:val="0"/>
        <w:rPr>
          <w:color w:val="000000"/>
        </w:rPr>
      </w:pPr>
      <w:r>
        <w:rPr>
          <w:noProof/>
          <w:color w:val="000000"/>
          <w:lang w:eastAsia="en-GB"/>
        </w:rPr>
        <w:drawing>
          <wp:inline distT="0" distB="0" distL="0" distR="0">
            <wp:extent cx="4572000" cy="2455817"/>
            <wp:effectExtent l="0" t="0" r="0" b="190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585112" cy="2462860"/>
                    </a:xfrm>
                    <a:prstGeom prst="rect">
                      <a:avLst/>
                    </a:prstGeom>
                    <a:noFill/>
                    <a:ln>
                      <a:noFill/>
                    </a:ln>
                  </pic:spPr>
                </pic:pic>
              </a:graphicData>
            </a:graphic>
          </wp:inline>
        </w:drawing>
      </w:r>
    </w:p>
    <w:p w:rsidR="00343E0D" w:rsidRPr="00C3700E" w:rsidRDefault="00343E0D" w:rsidP="00A86BDC">
      <w:pPr>
        <w:pStyle w:val="H1G"/>
        <w:adjustRightInd w:val="0"/>
        <w:snapToGrid w:val="0"/>
        <w:ind w:left="0" w:right="0" w:firstLine="0"/>
      </w:pPr>
      <w:bookmarkStart w:id="4" w:name="scroll-bookmark-7"/>
      <w:r>
        <w:t>C.</w:t>
      </w:r>
      <w:r w:rsidR="00A86BDC">
        <w:t xml:space="preserve">      </w:t>
      </w:r>
      <w:r>
        <w:tab/>
      </w:r>
      <w:r w:rsidRPr="00C3700E">
        <w:t xml:space="preserve">How </w:t>
      </w:r>
      <w:r>
        <w:t>should</w:t>
      </w:r>
      <w:r w:rsidRPr="00C3700E">
        <w:t xml:space="preserve"> maturity models</w:t>
      </w:r>
      <w:r>
        <w:t xml:space="preserve"> be used</w:t>
      </w:r>
      <w:r w:rsidRPr="00C3700E">
        <w:t>?</w:t>
      </w:r>
      <w:bookmarkEnd w:id="4"/>
    </w:p>
    <w:p w:rsidR="00343E0D" w:rsidRDefault="00343E0D" w:rsidP="00A86BDC">
      <w:pPr>
        <w:pStyle w:val="SingleTxtG"/>
        <w:numPr>
          <w:ilvl w:val="0"/>
          <w:numId w:val="30"/>
        </w:numPr>
        <w:adjustRightInd w:val="0"/>
        <w:snapToGrid w:val="0"/>
        <w:ind w:left="0" w:right="0" w:firstLine="0"/>
      </w:pPr>
      <w:r w:rsidRPr="00C3700E">
        <w:t xml:space="preserve">Maturity models are used to </w:t>
      </w:r>
      <w:r>
        <w:t>determine</w:t>
      </w:r>
      <w:r w:rsidRPr="00C3700E">
        <w:t xml:space="preserve"> the current level of maturity, and also to define the target level for the organisation. They are management tools to identify where </w:t>
      </w:r>
      <w:r>
        <w:t>improvements are</w:t>
      </w:r>
      <w:r w:rsidRPr="00C3700E">
        <w:t xml:space="preserve"> needed, and to help decide on priorities. The target level of maturity might be </w:t>
      </w:r>
      <w:r>
        <w:t>“</w:t>
      </w:r>
      <w:r w:rsidRPr="00C3700E">
        <w:t>Mature implementation</w:t>
      </w:r>
      <w:r>
        <w:t>”</w:t>
      </w:r>
      <w:r w:rsidRPr="00C3700E">
        <w:t xml:space="preserve">, but for some capabilities or standards, the organisation might decide that a lower level of maturity is sufficient. In the example </w:t>
      </w:r>
      <w:r w:rsidR="008158DB">
        <w:t>in Figure III</w:t>
      </w:r>
      <w:r w:rsidRPr="00C3700E">
        <w:t xml:space="preserve">, the target maturity level is </w:t>
      </w:r>
      <w:r>
        <w:t>“</w:t>
      </w:r>
      <w:r w:rsidRPr="00C3700E">
        <w:t>Corporate implementation</w:t>
      </w:r>
      <w:r>
        <w:t>”</w:t>
      </w:r>
      <w:r w:rsidRPr="00C3700E">
        <w:t xml:space="preserve">. The organisation has decided that it has already reached this level for the "Methods" dimension, but not for the other dimensions. It has most work to do in the </w:t>
      </w:r>
      <w:r w:rsidR="00D529CD">
        <w:t>“</w:t>
      </w:r>
      <w:r w:rsidRPr="00C3700E">
        <w:t xml:space="preserve">Technology" and "Processes" dimensions, as the organisation is only at the </w:t>
      </w:r>
      <w:r>
        <w:t>“</w:t>
      </w:r>
      <w:r w:rsidRPr="00C3700E">
        <w:t>Initial awareness</w:t>
      </w:r>
      <w:r>
        <w:t>”</w:t>
      </w:r>
      <w:r w:rsidRPr="00C3700E">
        <w:t xml:space="preserve"> level for these dimensions. As a result of this assessment, the </w:t>
      </w:r>
      <w:r>
        <w:t>“</w:t>
      </w:r>
      <w:r w:rsidRPr="00C3700E">
        <w:t>Technology</w:t>
      </w:r>
      <w:r>
        <w:t>”</w:t>
      </w:r>
      <w:r w:rsidRPr="00C3700E">
        <w:t xml:space="preserve"> and </w:t>
      </w:r>
      <w:r>
        <w:t>“</w:t>
      </w:r>
      <w:r w:rsidRPr="00C3700E">
        <w:t>Processes</w:t>
      </w:r>
      <w:r>
        <w:t>”</w:t>
      </w:r>
      <w:r w:rsidRPr="00C3700E">
        <w:t xml:space="preserve"> dimensions are likely to be priority areas for future work.</w:t>
      </w:r>
    </w:p>
    <w:p w:rsidR="008158DB" w:rsidRDefault="008158DB" w:rsidP="00A86BDC">
      <w:pPr>
        <w:pStyle w:val="SingleTxtG"/>
        <w:numPr>
          <w:ilvl w:val="0"/>
          <w:numId w:val="30"/>
        </w:numPr>
        <w:adjustRightInd w:val="0"/>
        <w:snapToGrid w:val="0"/>
        <w:ind w:left="0" w:right="0" w:firstLine="0"/>
        <w:rPr>
          <w:noProof/>
          <w:lang w:val="en-US"/>
        </w:rPr>
      </w:pPr>
      <w:r w:rsidRPr="00D529CD">
        <w:t>There</w:t>
      </w:r>
      <w:r>
        <w:rPr>
          <w:noProof/>
          <w:lang w:val="en-US"/>
        </w:rPr>
        <w:t xml:space="preserve"> may be cases where it is preferable to set different target maturity levels for the different dimensions, this is also possible. In such cases, the relative distances between the current and target levels should be considered when deciding on priorities.</w:t>
      </w:r>
    </w:p>
    <w:p w:rsidR="008158DB" w:rsidRDefault="008158DB" w:rsidP="00A86BDC">
      <w:pPr>
        <w:pStyle w:val="SingleTxtG"/>
        <w:numPr>
          <w:ilvl w:val="0"/>
          <w:numId w:val="30"/>
        </w:numPr>
        <w:adjustRightInd w:val="0"/>
        <w:snapToGrid w:val="0"/>
        <w:ind w:left="0" w:right="0" w:firstLine="0"/>
      </w:pPr>
      <w:r>
        <w:rPr>
          <w:noProof/>
          <w:lang w:val="en-US"/>
        </w:rPr>
        <w:t>A further development of this approach could be to collect information about how organisations have increased their maturity levels for the different dimensions of key capabilities. If this could be done in a structured way, it could provide a sort of “roadmap” of good practices for other organisations to follow. Some prototype templates for this sort of “roadmap” were also developed during 2016 in the “Modernisation Maturity Models”  project under the High-Level Group for the Modernisation of Official Statistics</w:t>
      </w:r>
      <w:r w:rsidRPr="0055685C">
        <w:rPr>
          <w:rStyle w:val="FootnoteReference"/>
          <w:noProof/>
          <w:color w:val="000000"/>
          <w:sz w:val="20"/>
          <w:szCs w:val="24"/>
          <w:lang w:val="en-US"/>
        </w:rPr>
        <w:footnoteReference w:id="5"/>
      </w:r>
      <w:r>
        <w:rPr>
          <w:noProof/>
          <w:lang w:val="en-US"/>
        </w:rPr>
        <w:t>.</w:t>
      </w:r>
    </w:p>
    <w:p w:rsidR="00EE7A29" w:rsidRPr="00A86BDC" w:rsidRDefault="00EE7A29" w:rsidP="00A86BDC">
      <w:pPr>
        <w:pStyle w:val="SingleTxtG"/>
        <w:keepNext/>
        <w:adjustRightInd w:val="0"/>
        <w:snapToGrid w:val="0"/>
        <w:spacing w:after="0"/>
        <w:ind w:left="0" w:right="0"/>
        <w:rPr>
          <w:b/>
          <w:bCs/>
          <w:sz w:val="22"/>
          <w:szCs w:val="22"/>
        </w:rPr>
      </w:pPr>
      <w:r w:rsidRPr="00A86BDC">
        <w:rPr>
          <w:b/>
          <w:bCs/>
          <w:sz w:val="22"/>
          <w:szCs w:val="22"/>
        </w:rPr>
        <w:lastRenderedPageBreak/>
        <w:t xml:space="preserve">Figure </w:t>
      </w:r>
      <w:r w:rsidR="00D529CD" w:rsidRPr="00A86BDC">
        <w:rPr>
          <w:b/>
          <w:bCs/>
          <w:sz w:val="22"/>
          <w:szCs w:val="22"/>
        </w:rPr>
        <w:t>III</w:t>
      </w:r>
      <w:r w:rsidR="00A86BDC" w:rsidRPr="00A86BDC">
        <w:rPr>
          <w:b/>
          <w:bCs/>
          <w:sz w:val="22"/>
          <w:szCs w:val="22"/>
        </w:rPr>
        <w:t xml:space="preserve">: </w:t>
      </w:r>
      <w:r w:rsidRPr="00A86BDC">
        <w:rPr>
          <w:b/>
          <w:bCs/>
          <w:sz w:val="22"/>
          <w:szCs w:val="22"/>
        </w:rPr>
        <w:t>Maturity levels targets</w:t>
      </w:r>
    </w:p>
    <w:p w:rsidR="00A86BDC" w:rsidRPr="00EE7A29" w:rsidRDefault="00A86BDC" w:rsidP="00A86BDC">
      <w:pPr>
        <w:pStyle w:val="SingleTxtG"/>
        <w:keepNext/>
        <w:adjustRightInd w:val="0"/>
        <w:snapToGrid w:val="0"/>
        <w:spacing w:after="0"/>
        <w:ind w:left="0" w:right="0"/>
        <w:rPr>
          <w:b/>
        </w:rPr>
      </w:pPr>
    </w:p>
    <w:p w:rsidR="00343E0D" w:rsidRDefault="00343E0D" w:rsidP="00A86BDC">
      <w:pPr>
        <w:adjustRightInd w:val="0"/>
        <w:snapToGrid w:val="0"/>
        <w:rPr>
          <w:noProof/>
          <w:color w:val="000000"/>
          <w:lang w:val="en-US"/>
        </w:rPr>
      </w:pPr>
      <w:r>
        <w:rPr>
          <w:noProof/>
          <w:color w:val="000000"/>
          <w:lang w:eastAsia="en-GB"/>
        </w:rPr>
        <w:drawing>
          <wp:inline distT="0" distB="0" distL="0" distR="0" wp14:anchorId="36BBF6AC" wp14:editId="63F2F6C1">
            <wp:extent cx="4564380" cy="2761872"/>
            <wp:effectExtent l="0" t="0" r="7620" b="635"/>
            <wp:docPr id="3" name="Picture 3" descr="/download/attachments/145293322/Maturity%20model.jpg?version=1&amp;modificationDate=1510582473230&amp;api=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wnload/attachments/145293322/Maturity%20model.jpg?version=1&amp;modificationDate=1510582473230&amp;api=v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09919" cy="2789428"/>
                    </a:xfrm>
                    <a:prstGeom prst="rect">
                      <a:avLst/>
                    </a:prstGeom>
                    <a:noFill/>
                    <a:ln>
                      <a:noFill/>
                    </a:ln>
                  </pic:spPr>
                </pic:pic>
              </a:graphicData>
            </a:graphic>
          </wp:inline>
        </w:drawing>
      </w:r>
    </w:p>
    <w:p w:rsidR="00EA59FE" w:rsidRPr="00EA3EA9" w:rsidRDefault="00EA59FE" w:rsidP="00A86BDC">
      <w:pPr>
        <w:pStyle w:val="H1G"/>
        <w:adjustRightInd w:val="0"/>
        <w:snapToGrid w:val="0"/>
        <w:ind w:left="0" w:right="0" w:firstLine="0"/>
      </w:pPr>
      <w:r>
        <w:t>D.</w:t>
      </w:r>
      <w:r>
        <w:tab/>
      </w:r>
      <w:r>
        <w:tab/>
      </w:r>
      <w:r w:rsidR="00184AD0">
        <w:t>Examples of maturity models</w:t>
      </w:r>
    </w:p>
    <w:p w:rsidR="00184AD0" w:rsidRDefault="00184AD0" w:rsidP="00A86BDC">
      <w:pPr>
        <w:pStyle w:val="SingleTxtG"/>
        <w:numPr>
          <w:ilvl w:val="0"/>
          <w:numId w:val="30"/>
        </w:numPr>
        <w:suppressAutoHyphens w:val="0"/>
        <w:adjustRightInd w:val="0"/>
        <w:snapToGrid w:val="0"/>
        <w:spacing w:line="240" w:lineRule="auto"/>
        <w:ind w:left="0" w:right="0" w:firstLine="0"/>
        <w:rPr>
          <w:noProof/>
          <w:lang w:val="en-US"/>
        </w:rPr>
      </w:pPr>
      <w:r w:rsidRPr="002C3821">
        <w:rPr>
          <w:noProof/>
          <w:lang w:val="en-US"/>
        </w:rPr>
        <w:t>Two examples of maturity models are given on the following pages. The first is for the implementation of the Generic Statistical Business Process Model (GSBPM)</w:t>
      </w:r>
      <w:r w:rsidR="00613423">
        <w:rPr>
          <w:rStyle w:val="FootnoteReference"/>
          <w:noProof/>
          <w:lang w:val="en-US"/>
        </w:rPr>
        <w:footnoteReference w:id="6"/>
      </w:r>
      <w:r w:rsidRPr="002C3821">
        <w:rPr>
          <w:noProof/>
          <w:lang w:val="en-US"/>
        </w:rPr>
        <w:t>, and the second is for risk management</w:t>
      </w:r>
      <w:r w:rsidR="00613423">
        <w:rPr>
          <w:rStyle w:val="FootnoteReference"/>
          <w:noProof/>
          <w:lang w:val="en-US"/>
        </w:rPr>
        <w:footnoteReference w:id="7"/>
      </w:r>
      <w:r w:rsidRPr="002C3821">
        <w:rPr>
          <w:noProof/>
          <w:lang w:val="en-US"/>
        </w:rPr>
        <w:t>. They were both developed as pilot exercises under the High-Level Group for the Modernisation of Official Statistics during 2016-17.</w:t>
      </w:r>
      <w:r w:rsidR="002C3821">
        <w:rPr>
          <w:noProof/>
          <w:lang w:val="en-US"/>
        </w:rPr>
        <w:t xml:space="preserve"> </w:t>
      </w:r>
      <w:r w:rsidR="002C3821" w:rsidRPr="002C3821">
        <w:rPr>
          <w:noProof/>
          <w:lang w:val="en-US"/>
        </w:rPr>
        <w:t>The</w:t>
      </w:r>
      <w:r w:rsidR="002C3821">
        <w:rPr>
          <w:noProof/>
          <w:lang w:val="en-US"/>
        </w:rPr>
        <w:t>y</w:t>
      </w:r>
      <w:r w:rsidR="002C3821" w:rsidRPr="002C3821">
        <w:rPr>
          <w:noProof/>
          <w:lang w:val="en-US"/>
        </w:rPr>
        <w:t xml:space="preserve"> illustrate the flexibility of the maturity model approach, and how it can be </w:t>
      </w:r>
      <w:r w:rsidR="002C3821">
        <w:rPr>
          <w:noProof/>
          <w:lang w:val="en-US"/>
        </w:rPr>
        <w:t xml:space="preserve">tailored to support specific standards or capabilities. </w:t>
      </w:r>
    </w:p>
    <w:p w:rsidR="00A86BDC" w:rsidRPr="002C3821" w:rsidRDefault="00A86BDC" w:rsidP="00A86BDC">
      <w:pPr>
        <w:pStyle w:val="SingleTxtG"/>
        <w:numPr>
          <w:ilvl w:val="0"/>
          <w:numId w:val="30"/>
        </w:numPr>
        <w:suppressAutoHyphens w:val="0"/>
        <w:adjustRightInd w:val="0"/>
        <w:snapToGrid w:val="0"/>
        <w:spacing w:line="240" w:lineRule="auto"/>
        <w:ind w:left="0" w:right="0" w:firstLine="0"/>
        <w:rPr>
          <w:noProof/>
          <w:lang w:val="en-US"/>
        </w:rPr>
        <w:sectPr w:rsidR="00A86BDC" w:rsidRPr="002C3821" w:rsidSect="0067205E">
          <w:footerReference w:type="even" r:id="rId13"/>
          <w:footerReference w:type="default" r:id="rId14"/>
          <w:pgSz w:w="11906" w:h="16838"/>
          <w:pgMar w:top="1701" w:right="1134" w:bottom="2268" w:left="1134" w:header="1020" w:footer="1701" w:gutter="0"/>
          <w:cols w:space="720"/>
          <w:formProt w:val="0"/>
          <w:titlePg/>
          <w:docGrid w:linePitch="272" w:charSpace="2047"/>
        </w:sectPr>
      </w:pPr>
    </w:p>
    <w:p w:rsidR="00184AD0" w:rsidRPr="00613423" w:rsidRDefault="00184AD0" w:rsidP="00A86BDC">
      <w:pPr>
        <w:suppressAutoHyphens w:val="0"/>
        <w:adjustRightInd w:val="0"/>
        <w:snapToGrid w:val="0"/>
        <w:spacing w:line="240" w:lineRule="auto"/>
        <w:rPr>
          <w:b/>
          <w:noProof/>
          <w:lang w:val="en-US"/>
        </w:rPr>
      </w:pPr>
      <w:r w:rsidRPr="00613423">
        <w:rPr>
          <w:b/>
          <w:noProof/>
          <w:lang w:val="en-US"/>
        </w:rPr>
        <w:lastRenderedPageBreak/>
        <w:t>Maturity model for the implementation of the GSBPM</w:t>
      </w:r>
    </w:p>
    <w:p w:rsidR="00184AD0" w:rsidRDefault="00184AD0" w:rsidP="00A86BDC">
      <w:pPr>
        <w:suppressAutoHyphens w:val="0"/>
        <w:adjustRightInd w:val="0"/>
        <w:snapToGrid w:val="0"/>
        <w:spacing w:line="240" w:lineRule="auto"/>
        <w:rPr>
          <w:noProof/>
          <w:lang w:val="en-US"/>
        </w:rPr>
      </w:pPr>
    </w:p>
    <w:tbl>
      <w:tblPr>
        <w:tblStyle w:val="ScrollTableNormal"/>
        <w:tblW w:w="5073" w:type="pct"/>
        <w:tblLook w:val="0020" w:firstRow="1" w:lastRow="0" w:firstColumn="0" w:lastColumn="0" w:noHBand="0" w:noVBand="0"/>
      </w:tblPr>
      <w:tblGrid>
        <w:gridCol w:w="1134"/>
        <w:gridCol w:w="2541"/>
        <w:gridCol w:w="2868"/>
        <w:gridCol w:w="2013"/>
        <w:gridCol w:w="2758"/>
        <w:gridCol w:w="3530"/>
      </w:tblGrid>
      <w:tr w:rsidR="00613423" w:rsidTr="00613423">
        <w:trPr>
          <w:cnfStyle w:val="100000000000" w:firstRow="1" w:lastRow="0" w:firstColumn="0" w:lastColumn="0" w:oddVBand="0" w:evenVBand="0" w:oddHBand="0" w:evenHBand="0" w:firstRowFirstColumn="0" w:firstRowLastColumn="0" w:lastRowFirstColumn="0" w:lastRowLastColumn="0"/>
        </w:trPr>
        <w:tc>
          <w:tcPr>
            <w:tcW w:w="0" w:type="auto"/>
            <w:tcMar>
              <w:top w:w="30" w:type="dxa"/>
              <w:left w:w="30" w:type="dxa"/>
              <w:bottom w:w="20" w:type="dxa"/>
              <w:right w:w="30" w:type="dxa"/>
            </w:tcMar>
          </w:tcPr>
          <w:p w:rsidR="00613423" w:rsidRPr="00613423" w:rsidRDefault="00613423" w:rsidP="00A86BDC">
            <w:pPr>
              <w:adjustRightInd w:val="0"/>
              <w:snapToGrid w:val="0"/>
              <w:rPr>
                <w:sz w:val="20"/>
                <w:szCs w:val="20"/>
              </w:rPr>
            </w:pPr>
          </w:p>
        </w:tc>
        <w:tc>
          <w:tcPr>
            <w:tcW w:w="4618" w:type="pct"/>
            <w:gridSpan w:val="5"/>
            <w:tcMar>
              <w:top w:w="30" w:type="dxa"/>
              <w:left w:w="30" w:type="dxa"/>
              <w:bottom w:w="20" w:type="dxa"/>
              <w:right w:w="30" w:type="dxa"/>
            </w:tcMar>
          </w:tcPr>
          <w:p w:rsidR="00613423" w:rsidRPr="00613423" w:rsidRDefault="00613423" w:rsidP="00A86BDC">
            <w:pPr>
              <w:adjustRightInd w:val="0"/>
              <w:snapToGrid w:val="0"/>
              <w:rPr>
                <w:sz w:val="20"/>
                <w:szCs w:val="20"/>
              </w:rPr>
            </w:pPr>
            <w:r w:rsidRPr="00613423">
              <w:rPr>
                <w:sz w:val="20"/>
                <w:szCs w:val="20"/>
              </w:rPr>
              <w:t>Maturity Levels</w:t>
            </w:r>
          </w:p>
        </w:tc>
      </w:tr>
      <w:tr w:rsidR="00613423" w:rsidTr="00613423">
        <w:tc>
          <w:tcPr>
            <w:tcW w:w="0" w:type="auto"/>
            <w:tcMar>
              <w:top w:w="30" w:type="dxa"/>
              <w:left w:w="30" w:type="dxa"/>
              <w:bottom w:w="20" w:type="dxa"/>
              <w:right w:w="30" w:type="dxa"/>
            </w:tcMar>
          </w:tcPr>
          <w:p w:rsidR="00613423" w:rsidRPr="00613423" w:rsidRDefault="00613423" w:rsidP="00A86BDC">
            <w:pPr>
              <w:adjustRightInd w:val="0"/>
              <w:snapToGrid w:val="0"/>
              <w:rPr>
                <w:b/>
                <w:sz w:val="20"/>
                <w:szCs w:val="20"/>
              </w:rPr>
            </w:pPr>
            <w:r w:rsidRPr="00613423">
              <w:rPr>
                <w:b/>
                <w:sz w:val="20"/>
                <w:szCs w:val="20"/>
              </w:rPr>
              <w:t>Dimensions</w:t>
            </w:r>
          </w:p>
        </w:tc>
        <w:tc>
          <w:tcPr>
            <w:tcW w:w="856" w:type="pct"/>
            <w:tcMar>
              <w:top w:w="30" w:type="dxa"/>
              <w:left w:w="30" w:type="dxa"/>
              <w:bottom w:w="20" w:type="dxa"/>
              <w:right w:w="30" w:type="dxa"/>
            </w:tcMar>
          </w:tcPr>
          <w:p w:rsidR="00613423" w:rsidRPr="00613423" w:rsidRDefault="00613423" w:rsidP="00A86BDC">
            <w:pPr>
              <w:adjustRightInd w:val="0"/>
              <w:snapToGrid w:val="0"/>
              <w:rPr>
                <w:sz w:val="20"/>
                <w:szCs w:val="20"/>
              </w:rPr>
            </w:pPr>
            <w:r w:rsidRPr="00613423">
              <w:rPr>
                <w:b/>
                <w:color w:val="003366"/>
                <w:sz w:val="20"/>
                <w:szCs w:val="20"/>
              </w:rPr>
              <w:t>Initial</w:t>
            </w:r>
            <w:r>
              <w:rPr>
                <w:b/>
                <w:color w:val="003366"/>
                <w:sz w:val="20"/>
                <w:szCs w:val="20"/>
              </w:rPr>
              <w:t xml:space="preserve"> </w:t>
            </w:r>
            <w:r w:rsidRPr="00613423">
              <w:rPr>
                <w:b/>
                <w:color w:val="003366"/>
                <w:sz w:val="20"/>
                <w:szCs w:val="20"/>
              </w:rPr>
              <w:t>awareness</w:t>
            </w:r>
          </w:p>
        </w:tc>
        <w:tc>
          <w:tcPr>
            <w:tcW w:w="966" w:type="pct"/>
            <w:tcMar>
              <w:top w:w="30" w:type="dxa"/>
              <w:left w:w="30" w:type="dxa"/>
              <w:bottom w:w="20" w:type="dxa"/>
              <w:right w:w="30" w:type="dxa"/>
            </w:tcMar>
          </w:tcPr>
          <w:p w:rsidR="00613423" w:rsidRPr="00613423" w:rsidRDefault="00613423" w:rsidP="00A86BDC">
            <w:pPr>
              <w:adjustRightInd w:val="0"/>
              <w:snapToGrid w:val="0"/>
              <w:rPr>
                <w:sz w:val="20"/>
                <w:szCs w:val="20"/>
              </w:rPr>
            </w:pPr>
            <w:r w:rsidRPr="00613423">
              <w:rPr>
                <w:b/>
                <w:color w:val="003366"/>
                <w:sz w:val="20"/>
                <w:szCs w:val="20"/>
              </w:rPr>
              <w:t>Pre-implementation</w:t>
            </w:r>
          </w:p>
        </w:tc>
        <w:tc>
          <w:tcPr>
            <w:tcW w:w="0" w:type="auto"/>
            <w:tcMar>
              <w:top w:w="30" w:type="dxa"/>
              <w:left w:w="30" w:type="dxa"/>
              <w:bottom w:w="20" w:type="dxa"/>
              <w:right w:w="30" w:type="dxa"/>
            </w:tcMar>
          </w:tcPr>
          <w:p w:rsidR="00613423" w:rsidRPr="00613423" w:rsidRDefault="00613423" w:rsidP="00A86BDC">
            <w:pPr>
              <w:adjustRightInd w:val="0"/>
              <w:snapToGrid w:val="0"/>
              <w:rPr>
                <w:sz w:val="20"/>
                <w:szCs w:val="20"/>
              </w:rPr>
            </w:pPr>
            <w:r w:rsidRPr="00613423">
              <w:rPr>
                <w:b/>
                <w:color w:val="003366"/>
                <w:sz w:val="20"/>
                <w:szCs w:val="20"/>
              </w:rPr>
              <w:t>Early</w:t>
            </w:r>
            <w:r>
              <w:rPr>
                <w:b/>
                <w:color w:val="003366"/>
                <w:sz w:val="20"/>
                <w:szCs w:val="20"/>
              </w:rPr>
              <w:t xml:space="preserve"> </w:t>
            </w:r>
            <w:r w:rsidRPr="00613423">
              <w:rPr>
                <w:b/>
                <w:color w:val="003366"/>
                <w:sz w:val="20"/>
                <w:szCs w:val="20"/>
              </w:rPr>
              <w:t>implementation</w:t>
            </w:r>
          </w:p>
        </w:tc>
        <w:tc>
          <w:tcPr>
            <w:tcW w:w="929" w:type="pct"/>
            <w:tcMar>
              <w:top w:w="30" w:type="dxa"/>
              <w:left w:w="30" w:type="dxa"/>
              <w:bottom w:w="20" w:type="dxa"/>
              <w:right w:w="30" w:type="dxa"/>
            </w:tcMar>
          </w:tcPr>
          <w:p w:rsidR="00613423" w:rsidRPr="00613423" w:rsidRDefault="00613423" w:rsidP="00A86BDC">
            <w:pPr>
              <w:adjustRightInd w:val="0"/>
              <w:snapToGrid w:val="0"/>
              <w:rPr>
                <w:sz w:val="20"/>
                <w:szCs w:val="20"/>
              </w:rPr>
            </w:pPr>
            <w:r w:rsidRPr="00613423">
              <w:rPr>
                <w:b/>
                <w:color w:val="003366"/>
                <w:sz w:val="20"/>
                <w:szCs w:val="20"/>
              </w:rPr>
              <w:t>Corporate</w:t>
            </w:r>
            <w:r>
              <w:rPr>
                <w:b/>
                <w:color w:val="003366"/>
                <w:sz w:val="20"/>
                <w:szCs w:val="20"/>
              </w:rPr>
              <w:t xml:space="preserve"> </w:t>
            </w:r>
            <w:r w:rsidRPr="00613423">
              <w:rPr>
                <w:b/>
                <w:color w:val="003366"/>
                <w:sz w:val="20"/>
                <w:szCs w:val="20"/>
              </w:rPr>
              <w:t>implementation</w:t>
            </w:r>
          </w:p>
        </w:tc>
        <w:tc>
          <w:tcPr>
            <w:tcW w:w="1189" w:type="pct"/>
            <w:tcMar>
              <w:top w:w="30" w:type="dxa"/>
              <w:left w:w="30" w:type="dxa"/>
              <w:bottom w:w="20" w:type="dxa"/>
              <w:right w:w="30" w:type="dxa"/>
            </w:tcMar>
          </w:tcPr>
          <w:p w:rsidR="00613423" w:rsidRPr="00613423" w:rsidRDefault="00613423" w:rsidP="00A86BDC">
            <w:pPr>
              <w:adjustRightInd w:val="0"/>
              <w:snapToGrid w:val="0"/>
              <w:rPr>
                <w:sz w:val="20"/>
                <w:szCs w:val="20"/>
              </w:rPr>
            </w:pPr>
            <w:r w:rsidRPr="00613423">
              <w:rPr>
                <w:b/>
                <w:color w:val="003366"/>
                <w:sz w:val="20"/>
                <w:szCs w:val="20"/>
              </w:rPr>
              <w:t>Mature</w:t>
            </w:r>
            <w:r>
              <w:rPr>
                <w:b/>
                <w:color w:val="003366"/>
                <w:sz w:val="20"/>
                <w:szCs w:val="20"/>
              </w:rPr>
              <w:t xml:space="preserve"> </w:t>
            </w:r>
            <w:r w:rsidRPr="00613423">
              <w:rPr>
                <w:b/>
                <w:color w:val="003366"/>
                <w:sz w:val="20"/>
                <w:szCs w:val="20"/>
              </w:rPr>
              <w:t>implementation</w:t>
            </w:r>
          </w:p>
        </w:tc>
      </w:tr>
      <w:tr w:rsidR="00613423" w:rsidTr="00613423">
        <w:tc>
          <w:tcPr>
            <w:tcW w:w="0" w:type="auto"/>
            <w:tcMar>
              <w:top w:w="30" w:type="dxa"/>
              <w:left w:w="30" w:type="dxa"/>
              <w:bottom w:w="20" w:type="dxa"/>
              <w:right w:w="30" w:type="dxa"/>
            </w:tcMar>
          </w:tcPr>
          <w:p w:rsidR="00613423" w:rsidRPr="00613423" w:rsidRDefault="00613423" w:rsidP="00A86BDC">
            <w:pPr>
              <w:adjustRightInd w:val="0"/>
              <w:snapToGrid w:val="0"/>
              <w:rPr>
                <w:sz w:val="20"/>
                <w:szCs w:val="20"/>
              </w:rPr>
            </w:pPr>
            <w:r w:rsidRPr="00613423">
              <w:rPr>
                <w:sz w:val="20"/>
                <w:szCs w:val="20"/>
              </w:rPr>
              <w:t>Business</w:t>
            </w:r>
          </w:p>
        </w:tc>
        <w:tc>
          <w:tcPr>
            <w:tcW w:w="856" w:type="pct"/>
            <w:tcMar>
              <w:top w:w="30" w:type="dxa"/>
              <w:left w:w="30" w:type="dxa"/>
              <w:bottom w:w="20" w:type="dxa"/>
              <w:right w:w="30" w:type="dxa"/>
            </w:tcMar>
          </w:tcPr>
          <w:p w:rsidR="00613423" w:rsidRPr="00613423" w:rsidRDefault="00613423" w:rsidP="00A86BDC">
            <w:pPr>
              <w:adjustRightInd w:val="0"/>
              <w:snapToGrid w:val="0"/>
              <w:rPr>
                <w:sz w:val="20"/>
                <w:szCs w:val="20"/>
              </w:rPr>
            </w:pPr>
            <w:r w:rsidRPr="00613423">
              <w:rPr>
                <w:sz w:val="20"/>
                <w:szCs w:val="20"/>
              </w:rPr>
              <w:t>No standard business process descriptions/ definitions are in use across the organisation’s statistical programs.</w:t>
            </w:r>
          </w:p>
          <w:p w:rsidR="00613423" w:rsidRPr="00613423" w:rsidRDefault="00613423" w:rsidP="00A86BDC">
            <w:pPr>
              <w:adjustRightInd w:val="0"/>
              <w:snapToGrid w:val="0"/>
              <w:rPr>
                <w:sz w:val="20"/>
                <w:szCs w:val="20"/>
              </w:rPr>
            </w:pPr>
            <w:r w:rsidRPr="00613423">
              <w:rPr>
                <w:sz w:val="20"/>
                <w:szCs w:val="20"/>
              </w:rPr>
              <w:t>Different business processes are followed by different individuals/ business units undertaking the same tasks.</w:t>
            </w:r>
          </w:p>
          <w:p w:rsidR="00613423" w:rsidRPr="00613423" w:rsidRDefault="00613423" w:rsidP="00A86BDC">
            <w:pPr>
              <w:adjustRightInd w:val="0"/>
              <w:snapToGrid w:val="0"/>
              <w:rPr>
                <w:sz w:val="20"/>
                <w:szCs w:val="20"/>
              </w:rPr>
            </w:pPr>
            <w:r w:rsidRPr="00613423">
              <w:rPr>
                <w:sz w:val="20"/>
                <w:szCs w:val="20"/>
              </w:rPr>
              <w:t>Projects/statistical programs exist in isolation. There is little or no business process coordination.</w:t>
            </w:r>
            <w:r w:rsidRPr="00613423">
              <w:rPr>
                <w:sz w:val="20"/>
                <w:szCs w:val="20"/>
              </w:rPr>
              <w:br/>
              <w:t>A few individuals are becoming interested in the potential business value of the GSBPM, but the organisation as a whole is unaware of the GSBPM.</w:t>
            </w:r>
          </w:p>
        </w:tc>
        <w:tc>
          <w:tcPr>
            <w:tcW w:w="966" w:type="pct"/>
            <w:tcMar>
              <w:top w:w="30" w:type="dxa"/>
              <w:left w:w="30" w:type="dxa"/>
              <w:bottom w:w="20" w:type="dxa"/>
              <w:right w:w="30" w:type="dxa"/>
            </w:tcMar>
          </w:tcPr>
          <w:p w:rsidR="00613423" w:rsidRPr="00613423" w:rsidRDefault="00613423" w:rsidP="00A86BDC">
            <w:pPr>
              <w:adjustRightInd w:val="0"/>
              <w:snapToGrid w:val="0"/>
              <w:rPr>
                <w:sz w:val="20"/>
                <w:szCs w:val="20"/>
              </w:rPr>
            </w:pPr>
            <w:r w:rsidRPr="00613423">
              <w:rPr>
                <w:sz w:val="20"/>
                <w:szCs w:val="20"/>
              </w:rPr>
              <w:t>Use of GSBPM is basic and limited to a few individuals.</w:t>
            </w:r>
          </w:p>
          <w:p w:rsidR="00613423" w:rsidRPr="00613423" w:rsidRDefault="00613423" w:rsidP="00A86BDC">
            <w:pPr>
              <w:adjustRightInd w:val="0"/>
              <w:snapToGrid w:val="0"/>
              <w:rPr>
                <w:sz w:val="20"/>
                <w:szCs w:val="20"/>
              </w:rPr>
            </w:pPr>
            <w:r w:rsidRPr="00613423">
              <w:rPr>
                <w:sz w:val="20"/>
                <w:szCs w:val="20"/>
              </w:rPr>
              <w:t>Some business units are becoming interested in the potential business value of GSBPM and investigate how adopting the GSBPM as a reference standard could assist standardisation activities.</w:t>
            </w:r>
            <w:r w:rsidRPr="00613423">
              <w:rPr>
                <w:sz w:val="20"/>
                <w:szCs w:val="20"/>
              </w:rPr>
              <w:br/>
              <w:t>Communication activities are carried out in some business units to demonstrate the benefits of using the model.</w:t>
            </w:r>
          </w:p>
        </w:tc>
        <w:tc>
          <w:tcPr>
            <w:tcW w:w="0" w:type="auto"/>
            <w:tcMar>
              <w:top w:w="30" w:type="dxa"/>
              <w:left w:w="30" w:type="dxa"/>
              <w:bottom w:w="20" w:type="dxa"/>
              <w:right w:w="30" w:type="dxa"/>
            </w:tcMar>
          </w:tcPr>
          <w:p w:rsidR="00613423" w:rsidRPr="00613423" w:rsidRDefault="00613423" w:rsidP="00A86BDC">
            <w:pPr>
              <w:adjustRightInd w:val="0"/>
              <w:snapToGrid w:val="0"/>
              <w:rPr>
                <w:sz w:val="20"/>
                <w:szCs w:val="20"/>
              </w:rPr>
            </w:pPr>
            <w:r w:rsidRPr="00613423">
              <w:rPr>
                <w:sz w:val="20"/>
                <w:szCs w:val="20"/>
              </w:rPr>
              <w:t>Use of GSBPM is spreading, but practice varies between individuals and between business units</w:t>
            </w:r>
          </w:p>
          <w:p w:rsidR="00613423" w:rsidRPr="00613423" w:rsidRDefault="00613423" w:rsidP="00A86BDC">
            <w:pPr>
              <w:adjustRightInd w:val="0"/>
              <w:snapToGrid w:val="0"/>
              <w:rPr>
                <w:sz w:val="20"/>
                <w:szCs w:val="20"/>
              </w:rPr>
            </w:pPr>
            <w:r w:rsidRPr="00613423">
              <w:rPr>
                <w:sz w:val="20"/>
                <w:szCs w:val="20"/>
              </w:rPr>
              <w:t>Some business units are documenting/ defining existing statistical production processes using the GSBPM phases/sub-processes.</w:t>
            </w:r>
            <w:r w:rsidRPr="00613423">
              <w:rPr>
                <w:sz w:val="20"/>
                <w:szCs w:val="20"/>
              </w:rPr>
              <w:br/>
              <w:t>GSBPM phases/ sub-processes are being used for generic project/ statistical program scoping and planning.</w:t>
            </w:r>
          </w:p>
        </w:tc>
        <w:tc>
          <w:tcPr>
            <w:tcW w:w="929" w:type="pct"/>
            <w:tcMar>
              <w:top w:w="30" w:type="dxa"/>
              <w:left w:w="30" w:type="dxa"/>
              <w:bottom w:w="20" w:type="dxa"/>
              <w:right w:w="30" w:type="dxa"/>
            </w:tcMar>
          </w:tcPr>
          <w:p w:rsidR="00613423" w:rsidRPr="00613423" w:rsidRDefault="00613423" w:rsidP="00A86BDC">
            <w:pPr>
              <w:adjustRightInd w:val="0"/>
              <w:snapToGrid w:val="0"/>
              <w:rPr>
                <w:sz w:val="20"/>
                <w:szCs w:val="20"/>
              </w:rPr>
            </w:pPr>
            <w:r w:rsidRPr="00613423">
              <w:rPr>
                <w:sz w:val="20"/>
                <w:szCs w:val="20"/>
              </w:rPr>
              <w:t>A corporate-wide programme/strategy for use of GSBPM for managing statistical production processes is in place.</w:t>
            </w:r>
          </w:p>
          <w:p w:rsidR="00613423" w:rsidRPr="00613423" w:rsidRDefault="00613423" w:rsidP="00A86BDC">
            <w:pPr>
              <w:adjustRightInd w:val="0"/>
              <w:snapToGrid w:val="0"/>
              <w:rPr>
                <w:sz w:val="20"/>
                <w:szCs w:val="20"/>
              </w:rPr>
            </w:pPr>
            <w:r w:rsidRPr="00613423">
              <w:rPr>
                <w:sz w:val="20"/>
                <w:szCs w:val="20"/>
              </w:rPr>
              <w:t>Management uses GSBPM as a framework for all planning of statistical production and for standardisation of production processes.</w:t>
            </w:r>
            <w:r w:rsidRPr="00613423">
              <w:rPr>
                <w:sz w:val="20"/>
                <w:szCs w:val="20"/>
              </w:rPr>
              <w:br/>
              <w:t>The organisation standardises and describes procedures for all GSBPM phases and sub-processes in a consistent manner.</w:t>
            </w:r>
          </w:p>
        </w:tc>
        <w:tc>
          <w:tcPr>
            <w:tcW w:w="1189" w:type="pct"/>
            <w:tcMar>
              <w:top w:w="30" w:type="dxa"/>
              <w:left w:w="30" w:type="dxa"/>
              <w:bottom w:w="20" w:type="dxa"/>
              <w:right w:w="30" w:type="dxa"/>
            </w:tcMar>
          </w:tcPr>
          <w:p w:rsidR="00613423" w:rsidRPr="00613423" w:rsidRDefault="00613423" w:rsidP="00A86BDC">
            <w:pPr>
              <w:adjustRightInd w:val="0"/>
              <w:snapToGrid w:val="0"/>
              <w:rPr>
                <w:sz w:val="20"/>
                <w:szCs w:val="20"/>
              </w:rPr>
            </w:pPr>
            <w:r w:rsidRPr="00613423">
              <w:rPr>
                <w:sz w:val="20"/>
                <w:szCs w:val="20"/>
              </w:rPr>
              <w:t>Management uses GSBPM systematically and regularly for managing and improving business capabilities and standardisation.</w:t>
            </w:r>
          </w:p>
          <w:p w:rsidR="00613423" w:rsidRPr="00613423" w:rsidRDefault="00613423" w:rsidP="00A86BDC">
            <w:pPr>
              <w:adjustRightInd w:val="0"/>
              <w:snapToGrid w:val="0"/>
              <w:rPr>
                <w:sz w:val="20"/>
                <w:szCs w:val="20"/>
              </w:rPr>
            </w:pPr>
            <w:r w:rsidRPr="00613423">
              <w:rPr>
                <w:sz w:val="20"/>
                <w:szCs w:val="20"/>
              </w:rPr>
              <w:t>The organisation has widespread expertise and familiarity with the use and application of the GSBPM. It is the reference framework for all statistical production.</w:t>
            </w:r>
            <w:r w:rsidRPr="00613423">
              <w:rPr>
                <w:sz w:val="20"/>
                <w:szCs w:val="20"/>
              </w:rPr>
              <w:br/>
              <w:t>GSBPM-based responsibilities are shared between job positions and are described in job descriptions.</w:t>
            </w:r>
          </w:p>
        </w:tc>
      </w:tr>
      <w:tr w:rsidR="00613423" w:rsidTr="00613423">
        <w:tc>
          <w:tcPr>
            <w:tcW w:w="0" w:type="auto"/>
            <w:tcMar>
              <w:top w:w="30" w:type="dxa"/>
              <w:left w:w="30" w:type="dxa"/>
              <w:bottom w:w="20" w:type="dxa"/>
              <w:right w:w="30" w:type="dxa"/>
            </w:tcMar>
          </w:tcPr>
          <w:p w:rsidR="00613423" w:rsidRPr="00613423" w:rsidRDefault="00613423" w:rsidP="00A86BDC">
            <w:pPr>
              <w:adjustRightInd w:val="0"/>
              <w:snapToGrid w:val="0"/>
              <w:rPr>
                <w:sz w:val="20"/>
                <w:szCs w:val="20"/>
              </w:rPr>
            </w:pPr>
            <w:r w:rsidRPr="00613423">
              <w:rPr>
                <w:sz w:val="20"/>
                <w:szCs w:val="20"/>
              </w:rPr>
              <w:t>Methods</w:t>
            </w:r>
          </w:p>
        </w:tc>
        <w:tc>
          <w:tcPr>
            <w:tcW w:w="856" w:type="pct"/>
            <w:tcMar>
              <w:top w:w="30" w:type="dxa"/>
              <w:left w:w="30" w:type="dxa"/>
              <w:bottom w:w="20" w:type="dxa"/>
              <w:right w:w="30" w:type="dxa"/>
            </w:tcMar>
          </w:tcPr>
          <w:p w:rsidR="00613423" w:rsidRPr="00613423" w:rsidRDefault="00613423" w:rsidP="00A86BDC">
            <w:pPr>
              <w:adjustRightInd w:val="0"/>
              <w:snapToGrid w:val="0"/>
              <w:rPr>
                <w:sz w:val="20"/>
                <w:szCs w:val="20"/>
              </w:rPr>
            </w:pPr>
            <w:r w:rsidRPr="00613423">
              <w:rPr>
                <w:sz w:val="20"/>
                <w:szCs w:val="20"/>
              </w:rPr>
              <w:t>No common approaches regarding the development and use of methods.</w:t>
            </w:r>
          </w:p>
          <w:p w:rsidR="00613423" w:rsidRPr="00613423" w:rsidRDefault="00613423" w:rsidP="00A86BDC">
            <w:pPr>
              <w:adjustRightInd w:val="0"/>
              <w:snapToGrid w:val="0"/>
              <w:rPr>
                <w:sz w:val="20"/>
                <w:szCs w:val="20"/>
              </w:rPr>
            </w:pPr>
            <w:r w:rsidRPr="00613423">
              <w:rPr>
                <w:sz w:val="20"/>
                <w:szCs w:val="20"/>
              </w:rPr>
              <w:t>Methods are identified and defined with no reference to GSBPM.</w:t>
            </w:r>
            <w:r w:rsidRPr="00613423">
              <w:rPr>
                <w:sz w:val="20"/>
                <w:szCs w:val="20"/>
              </w:rPr>
              <w:br/>
              <w:t>A few individuals are becoming interested in the potential value of mapping/documenting methods per GSPBM phase.</w:t>
            </w:r>
          </w:p>
        </w:tc>
        <w:tc>
          <w:tcPr>
            <w:tcW w:w="966" w:type="pct"/>
            <w:tcMar>
              <w:top w:w="30" w:type="dxa"/>
              <w:left w:w="30" w:type="dxa"/>
              <w:bottom w:w="20" w:type="dxa"/>
              <w:right w:w="30" w:type="dxa"/>
            </w:tcMar>
          </w:tcPr>
          <w:p w:rsidR="00613423" w:rsidRPr="00613423" w:rsidRDefault="00613423" w:rsidP="00A86BDC">
            <w:pPr>
              <w:adjustRightInd w:val="0"/>
              <w:snapToGrid w:val="0"/>
              <w:rPr>
                <w:sz w:val="20"/>
                <w:szCs w:val="20"/>
              </w:rPr>
            </w:pPr>
            <w:r w:rsidRPr="00613423">
              <w:rPr>
                <w:sz w:val="20"/>
                <w:szCs w:val="20"/>
              </w:rPr>
              <w:t>A few individuals are mapping/ documenting existing methods per GSPBM phase/sub-process.</w:t>
            </w:r>
          </w:p>
          <w:p w:rsidR="00613423" w:rsidRPr="00613423" w:rsidRDefault="00613423" w:rsidP="00A86BDC">
            <w:pPr>
              <w:adjustRightInd w:val="0"/>
              <w:snapToGrid w:val="0"/>
              <w:rPr>
                <w:sz w:val="20"/>
                <w:szCs w:val="20"/>
              </w:rPr>
            </w:pPr>
            <w:r w:rsidRPr="00613423">
              <w:rPr>
                <w:sz w:val="20"/>
                <w:szCs w:val="20"/>
              </w:rPr>
              <w:t>Some business units are becoming interested in the potential value of mapping/ documenting existing methods per GSPBM phase in order to improve coherence and consistency.</w:t>
            </w:r>
            <w:r w:rsidRPr="00613423">
              <w:rPr>
                <w:sz w:val="20"/>
                <w:szCs w:val="20"/>
              </w:rPr>
              <w:br/>
              <w:t>New methods are developed with reference to GSBPM phases.</w:t>
            </w:r>
          </w:p>
        </w:tc>
        <w:tc>
          <w:tcPr>
            <w:tcW w:w="0" w:type="auto"/>
            <w:tcMar>
              <w:top w:w="30" w:type="dxa"/>
              <w:left w:w="30" w:type="dxa"/>
              <w:bottom w:w="20" w:type="dxa"/>
              <w:right w:w="30" w:type="dxa"/>
            </w:tcMar>
          </w:tcPr>
          <w:p w:rsidR="00613423" w:rsidRPr="00613423" w:rsidRDefault="00613423" w:rsidP="00A86BDC">
            <w:pPr>
              <w:adjustRightInd w:val="0"/>
              <w:snapToGrid w:val="0"/>
              <w:rPr>
                <w:sz w:val="20"/>
                <w:szCs w:val="20"/>
              </w:rPr>
            </w:pPr>
            <w:r w:rsidRPr="00613423">
              <w:rPr>
                <w:sz w:val="20"/>
                <w:szCs w:val="20"/>
              </w:rPr>
              <w:t>Individuals and business units are mapping/ documenting new and existing methods per GSPBM phase/sub-process, but the practice varies.</w:t>
            </w:r>
            <w:r w:rsidRPr="00613423">
              <w:rPr>
                <w:sz w:val="20"/>
                <w:szCs w:val="20"/>
              </w:rPr>
              <w:br/>
              <w:t>A corporate-wide strategy for the use of GSBPM to map/document methods per phase/sub-process is not yet in place.</w:t>
            </w:r>
          </w:p>
        </w:tc>
        <w:tc>
          <w:tcPr>
            <w:tcW w:w="929" w:type="pct"/>
            <w:tcMar>
              <w:top w:w="30" w:type="dxa"/>
              <w:left w:w="30" w:type="dxa"/>
              <w:bottom w:w="20" w:type="dxa"/>
              <w:right w:w="30" w:type="dxa"/>
            </w:tcMar>
          </w:tcPr>
          <w:p w:rsidR="00613423" w:rsidRPr="00613423" w:rsidRDefault="00613423" w:rsidP="00A86BDC">
            <w:pPr>
              <w:adjustRightInd w:val="0"/>
              <w:snapToGrid w:val="0"/>
              <w:rPr>
                <w:sz w:val="20"/>
                <w:szCs w:val="20"/>
              </w:rPr>
            </w:pPr>
            <w:r w:rsidRPr="00613423">
              <w:rPr>
                <w:sz w:val="20"/>
                <w:szCs w:val="20"/>
              </w:rPr>
              <w:t>A corporate-wide strategy for the use of GSBPM to map/document methods per phase/sub-process is in place.</w:t>
            </w:r>
          </w:p>
          <w:p w:rsidR="00613423" w:rsidRPr="00613423" w:rsidRDefault="00613423" w:rsidP="00A86BDC">
            <w:pPr>
              <w:adjustRightInd w:val="0"/>
              <w:snapToGrid w:val="0"/>
              <w:rPr>
                <w:sz w:val="20"/>
                <w:szCs w:val="20"/>
              </w:rPr>
            </w:pPr>
            <w:r w:rsidRPr="00613423">
              <w:rPr>
                <w:sz w:val="20"/>
                <w:szCs w:val="20"/>
              </w:rPr>
              <w:t>There is a widespread awareness of the use of GSBPM to map/ document new and relevant existing methods per phase/sub-process and a consistent approach is adopted across the organisation to carry this out.</w:t>
            </w:r>
          </w:p>
        </w:tc>
        <w:tc>
          <w:tcPr>
            <w:tcW w:w="1189" w:type="pct"/>
            <w:tcMar>
              <w:top w:w="30" w:type="dxa"/>
              <w:left w:w="30" w:type="dxa"/>
              <w:bottom w:w="20" w:type="dxa"/>
              <w:right w:w="30" w:type="dxa"/>
            </w:tcMar>
          </w:tcPr>
          <w:p w:rsidR="00613423" w:rsidRPr="00613423" w:rsidRDefault="00613423" w:rsidP="00A86BDC">
            <w:pPr>
              <w:adjustRightInd w:val="0"/>
              <w:snapToGrid w:val="0"/>
              <w:rPr>
                <w:sz w:val="20"/>
                <w:szCs w:val="20"/>
              </w:rPr>
            </w:pPr>
            <w:r w:rsidRPr="00613423">
              <w:rPr>
                <w:sz w:val="20"/>
                <w:szCs w:val="20"/>
              </w:rPr>
              <w:t>Methods are standardised and optimised within the GSBPM and extensively re-used.</w:t>
            </w:r>
          </w:p>
          <w:p w:rsidR="00613423" w:rsidRPr="00613423" w:rsidRDefault="00613423" w:rsidP="00A86BDC">
            <w:pPr>
              <w:adjustRightInd w:val="0"/>
              <w:snapToGrid w:val="0"/>
              <w:rPr>
                <w:sz w:val="20"/>
                <w:szCs w:val="20"/>
              </w:rPr>
            </w:pPr>
            <w:r w:rsidRPr="00613423">
              <w:rPr>
                <w:sz w:val="20"/>
                <w:szCs w:val="20"/>
              </w:rPr>
              <w:t>This standardization facilitates inter-institutional collaboration efforts.</w:t>
            </w:r>
          </w:p>
          <w:p w:rsidR="00613423" w:rsidRPr="00613423" w:rsidRDefault="00613423" w:rsidP="00A86BDC">
            <w:pPr>
              <w:adjustRightInd w:val="0"/>
              <w:snapToGrid w:val="0"/>
              <w:rPr>
                <w:sz w:val="20"/>
                <w:szCs w:val="20"/>
              </w:rPr>
            </w:pPr>
            <w:r w:rsidRPr="00613423">
              <w:rPr>
                <w:sz w:val="20"/>
                <w:szCs w:val="20"/>
              </w:rPr>
              <w:t>The use of GSBPM to map/document methods per phase/process is an important part of methods management and delivers value by identifying duplication and potential for reuse.</w:t>
            </w:r>
          </w:p>
          <w:p w:rsidR="00613423" w:rsidRPr="00613423" w:rsidRDefault="00613423" w:rsidP="00A86BDC">
            <w:pPr>
              <w:adjustRightInd w:val="0"/>
              <w:snapToGrid w:val="0"/>
              <w:rPr>
                <w:sz w:val="20"/>
                <w:szCs w:val="20"/>
              </w:rPr>
            </w:pPr>
            <w:r w:rsidRPr="00613423">
              <w:rPr>
                <w:sz w:val="20"/>
                <w:szCs w:val="20"/>
              </w:rPr>
              <w:t>Mapping/ documenting methods to GSBPM phases/sub-processes is well understood and applied in a consistent manner.</w:t>
            </w:r>
          </w:p>
        </w:tc>
      </w:tr>
      <w:tr w:rsidR="00613423" w:rsidTr="00FE4EA5">
        <w:trPr>
          <w:cantSplit/>
        </w:trPr>
        <w:tc>
          <w:tcPr>
            <w:tcW w:w="0" w:type="auto"/>
            <w:tcMar>
              <w:top w:w="30" w:type="dxa"/>
              <w:left w:w="30" w:type="dxa"/>
              <w:bottom w:w="20" w:type="dxa"/>
              <w:right w:w="30" w:type="dxa"/>
            </w:tcMar>
          </w:tcPr>
          <w:p w:rsidR="00613423" w:rsidRPr="00613423" w:rsidRDefault="00613423" w:rsidP="00A86BDC">
            <w:pPr>
              <w:adjustRightInd w:val="0"/>
              <w:snapToGrid w:val="0"/>
              <w:rPr>
                <w:sz w:val="20"/>
                <w:szCs w:val="20"/>
              </w:rPr>
            </w:pPr>
            <w:r w:rsidRPr="00613423">
              <w:rPr>
                <w:sz w:val="20"/>
                <w:szCs w:val="20"/>
              </w:rPr>
              <w:lastRenderedPageBreak/>
              <w:t>Information</w:t>
            </w:r>
          </w:p>
        </w:tc>
        <w:tc>
          <w:tcPr>
            <w:tcW w:w="856" w:type="pct"/>
            <w:tcMar>
              <w:top w:w="30" w:type="dxa"/>
              <w:left w:w="30" w:type="dxa"/>
              <w:bottom w:w="20" w:type="dxa"/>
              <w:right w:w="30" w:type="dxa"/>
            </w:tcMar>
          </w:tcPr>
          <w:p w:rsidR="00613423" w:rsidRPr="00613423" w:rsidRDefault="00613423" w:rsidP="00A86BDC">
            <w:pPr>
              <w:adjustRightInd w:val="0"/>
              <w:snapToGrid w:val="0"/>
              <w:rPr>
                <w:sz w:val="20"/>
                <w:szCs w:val="20"/>
              </w:rPr>
            </w:pPr>
            <w:r w:rsidRPr="00613423">
              <w:rPr>
                <w:sz w:val="20"/>
                <w:szCs w:val="20"/>
              </w:rPr>
              <w:t>No standardised way of defining information objects (data and metadata) with reference to their use in GSBPM.</w:t>
            </w:r>
            <w:r w:rsidRPr="00613423">
              <w:rPr>
                <w:sz w:val="20"/>
                <w:szCs w:val="20"/>
              </w:rPr>
              <w:br/>
              <w:t>No integration of information.</w:t>
            </w:r>
          </w:p>
        </w:tc>
        <w:tc>
          <w:tcPr>
            <w:tcW w:w="966" w:type="pct"/>
            <w:tcMar>
              <w:top w:w="30" w:type="dxa"/>
              <w:left w:w="30" w:type="dxa"/>
              <w:bottom w:w="20" w:type="dxa"/>
              <w:right w:w="30" w:type="dxa"/>
            </w:tcMar>
          </w:tcPr>
          <w:p w:rsidR="00613423" w:rsidRPr="00613423" w:rsidRDefault="00613423" w:rsidP="00A86BDC">
            <w:pPr>
              <w:adjustRightInd w:val="0"/>
              <w:snapToGrid w:val="0"/>
              <w:rPr>
                <w:sz w:val="20"/>
                <w:szCs w:val="20"/>
              </w:rPr>
            </w:pPr>
            <w:r w:rsidRPr="00613423">
              <w:rPr>
                <w:sz w:val="20"/>
                <w:szCs w:val="20"/>
              </w:rPr>
              <w:t>Identification and classification of information objects by GSBPM phase carried out for one or two statistical programs in order to improve consistency in information objects being used/referred to in the different sub-processes.</w:t>
            </w:r>
          </w:p>
        </w:tc>
        <w:tc>
          <w:tcPr>
            <w:tcW w:w="0" w:type="auto"/>
            <w:tcMar>
              <w:top w:w="30" w:type="dxa"/>
              <w:left w:w="30" w:type="dxa"/>
              <w:bottom w:w="20" w:type="dxa"/>
              <w:right w:w="30" w:type="dxa"/>
            </w:tcMar>
          </w:tcPr>
          <w:p w:rsidR="00613423" w:rsidRPr="00613423" w:rsidRDefault="00613423" w:rsidP="00A86BDC">
            <w:pPr>
              <w:adjustRightInd w:val="0"/>
              <w:snapToGrid w:val="0"/>
              <w:rPr>
                <w:sz w:val="20"/>
                <w:szCs w:val="20"/>
              </w:rPr>
            </w:pPr>
            <w:r w:rsidRPr="00613423">
              <w:rPr>
                <w:sz w:val="20"/>
                <w:szCs w:val="20"/>
              </w:rPr>
              <w:t>New projects adopt standard methods of classifying information object use and terminology by GSBPM phase/ sub-process.</w:t>
            </w:r>
            <w:r w:rsidRPr="00613423">
              <w:rPr>
                <w:sz w:val="20"/>
                <w:szCs w:val="20"/>
              </w:rPr>
              <w:br/>
              <w:t>Existing applications have a varied practise regarding mapping of information objects by GSBPM phase/ sub-process.</w:t>
            </w:r>
          </w:p>
        </w:tc>
        <w:tc>
          <w:tcPr>
            <w:tcW w:w="929" w:type="pct"/>
            <w:tcMar>
              <w:top w:w="30" w:type="dxa"/>
              <w:left w:w="30" w:type="dxa"/>
              <w:bottom w:w="20" w:type="dxa"/>
              <w:right w:w="30" w:type="dxa"/>
            </w:tcMar>
          </w:tcPr>
          <w:p w:rsidR="00613423" w:rsidRPr="00613423" w:rsidRDefault="00613423" w:rsidP="00A86BDC">
            <w:pPr>
              <w:adjustRightInd w:val="0"/>
              <w:snapToGrid w:val="0"/>
              <w:rPr>
                <w:sz w:val="20"/>
                <w:szCs w:val="20"/>
              </w:rPr>
            </w:pPr>
            <w:r w:rsidRPr="00613423">
              <w:rPr>
                <w:sz w:val="20"/>
                <w:szCs w:val="20"/>
              </w:rPr>
              <w:t>Information objects used within the organisation are mapped to the GSBPM sub-processes, and the changes to information objects through the sub-processes, are well defined.</w:t>
            </w:r>
          </w:p>
        </w:tc>
        <w:tc>
          <w:tcPr>
            <w:tcW w:w="1189" w:type="pct"/>
            <w:tcMar>
              <w:top w:w="30" w:type="dxa"/>
              <w:left w:w="30" w:type="dxa"/>
              <w:bottom w:w="20" w:type="dxa"/>
              <w:right w:w="30" w:type="dxa"/>
            </w:tcMar>
          </w:tcPr>
          <w:p w:rsidR="00613423" w:rsidRPr="00613423" w:rsidRDefault="00613423" w:rsidP="00A86BDC">
            <w:pPr>
              <w:adjustRightInd w:val="0"/>
              <w:snapToGrid w:val="0"/>
              <w:rPr>
                <w:sz w:val="20"/>
                <w:szCs w:val="20"/>
              </w:rPr>
            </w:pPr>
            <w:r w:rsidRPr="00613423">
              <w:rPr>
                <w:sz w:val="20"/>
                <w:szCs w:val="20"/>
              </w:rPr>
              <w:t>Information object usage and nomenclature is harmonised/standardised across the organisation, with GSIM in routine use as the basis for describing and defining information objects.</w:t>
            </w:r>
            <w:r w:rsidRPr="00613423">
              <w:rPr>
                <w:sz w:val="20"/>
                <w:szCs w:val="20"/>
              </w:rPr>
              <w:br/>
              <w:t>The reuse of information objects is maximised wherever possible</w:t>
            </w:r>
          </w:p>
        </w:tc>
      </w:tr>
      <w:tr w:rsidR="00613423" w:rsidTr="00613423">
        <w:tc>
          <w:tcPr>
            <w:tcW w:w="0" w:type="auto"/>
            <w:tcMar>
              <w:top w:w="30" w:type="dxa"/>
              <w:left w:w="30" w:type="dxa"/>
              <w:bottom w:w="20" w:type="dxa"/>
              <w:right w:w="30" w:type="dxa"/>
            </w:tcMar>
          </w:tcPr>
          <w:p w:rsidR="00613423" w:rsidRPr="00613423" w:rsidRDefault="00613423" w:rsidP="00A86BDC">
            <w:pPr>
              <w:adjustRightInd w:val="0"/>
              <w:snapToGrid w:val="0"/>
              <w:rPr>
                <w:sz w:val="20"/>
                <w:szCs w:val="20"/>
              </w:rPr>
            </w:pPr>
            <w:r w:rsidRPr="00613423">
              <w:rPr>
                <w:sz w:val="20"/>
                <w:szCs w:val="20"/>
              </w:rPr>
              <w:t>Applications</w:t>
            </w:r>
          </w:p>
        </w:tc>
        <w:tc>
          <w:tcPr>
            <w:tcW w:w="856" w:type="pct"/>
            <w:tcMar>
              <w:top w:w="30" w:type="dxa"/>
              <w:left w:w="30" w:type="dxa"/>
              <w:bottom w:w="20" w:type="dxa"/>
              <w:right w:w="30" w:type="dxa"/>
            </w:tcMar>
          </w:tcPr>
          <w:p w:rsidR="00613423" w:rsidRPr="00613423" w:rsidRDefault="00613423" w:rsidP="00A86BDC">
            <w:pPr>
              <w:adjustRightInd w:val="0"/>
              <w:snapToGrid w:val="0"/>
              <w:rPr>
                <w:sz w:val="20"/>
                <w:szCs w:val="20"/>
              </w:rPr>
            </w:pPr>
            <w:r w:rsidRPr="00613423">
              <w:rPr>
                <w:sz w:val="20"/>
                <w:szCs w:val="20"/>
              </w:rPr>
              <w:t>Applications are developed without reference to GSBPM.</w:t>
            </w:r>
          </w:p>
          <w:p w:rsidR="00613423" w:rsidRPr="00613423" w:rsidRDefault="00613423" w:rsidP="00A86BDC">
            <w:pPr>
              <w:adjustRightInd w:val="0"/>
              <w:snapToGrid w:val="0"/>
              <w:rPr>
                <w:sz w:val="20"/>
                <w:szCs w:val="20"/>
              </w:rPr>
            </w:pPr>
            <w:r w:rsidRPr="00613423">
              <w:rPr>
                <w:sz w:val="20"/>
                <w:szCs w:val="20"/>
              </w:rPr>
              <w:t>Applications are developed stand-alone, at silo level, without reference to common statistical processes across the organisation.</w:t>
            </w:r>
          </w:p>
          <w:p w:rsidR="00613423" w:rsidRPr="00613423" w:rsidRDefault="00613423" w:rsidP="00A86BDC">
            <w:pPr>
              <w:adjustRightInd w:val="0"/>
              <w:snapToGrid w:val="0"/>
              <w:rPr>
                <w:sz w:val="20"/>
                <w:szCs w:val="20"/>
              </w:rPr>
            </w:pPr>
            <w:r w:rsidRPr="00613423">
              <w:rPr>
                <w:sz w:val="20"/>
                <w:szCs w:val="20"/>
              </w:rPr>
              <w:t>Every statistical program has its own production system, with little coordination between the programs.</w:t>
            </w:r>
            <w:r w:rsidRPr="00613423">
              <w:rPr>
                <w:sz w:val="20"/>
                <w:szCs w:val="20"/>
              </w:rPr>
              <w:br/>
              <w:t>Common problems are solved in different ways.</w:t>
            </w:r>
          </w:p>
        </w:tc>
        <w:tc>
          <w:tcPr>
            <w:tcW w:w="966" w:type="pct"/>
            <w:tcMar>
              <w:top w:w="30" w:type="dxa"/>
              <w:left w:w="30" w:type="dxa"/>
              <w:bottom w:w="20" w:type="dxa"/>
              <w:right w:w="30" w:type="dxa"/>
            </w:tcMar>
          </w:tcPr>
          <w:p w:rsidR="00613423" w:rsidRPr="00613423" w:rsidRDefault="00613423" w:rsidP="00A86BDC">
            <w:pPr>
              <w:adjustRightInd w:val="0"/>
              <w:snapToGrid w:val="0"/>
              <w:rPr>
                <w:sz w:val="20"/>
                <w:szCs w:val="20"/>
              </w:rPr>
            </w:pPr>
            <w:r w:rsidRPr="00613423">
              <w:rPr>
                <w:sz w:val="20"/>
                <w:szCs w:val="20"/>
              </w:rPr>
              <w:t>As a first step toward standardization, existing applications are roughly mapped to (one or more) GSBPM phases. The mapping is generally not applicable to GSBPM sub-processes.</w:t>
            </w:r>
          </w:p>
        </w:tc>
        <w:tc>
          <w:tcPr>
            <w:tcW w:w="0" w:type="auto"/>
            <w:tcMar>
              <w:top w:w="30" w:type="dxa"/>
              <w:left w:w="30" w:type="dxa"/>
              <w:bottom w:w="20" w:type="dxa"/>
              <w:right w:w="30" w:type="dxa"/>
            </w:tcMar>
          </w:tcPr>
          <w:p w:rsidR="00613423" w:rsidRPr="00613423" w:rsidRDefault="00613423" w:rsidP="00A86BDC">
            <w:pPr>
              <w:adjustRightInd w:val="0"/>
              <w:snapToGrid w:val="0"/>
              <w:rPr>
                <w:sz w:val="20"/>
                <w:szCs w:val="20"/>
              </w:rPr>
            </w:pPr>
            <w:r w:rsidRPr="00613423">
              <w:rPr>
                <w:sz w:val="20"/>
                <w:szCs w:val="20"/>
              </w:rPr>
              <w:t>Specification of scope for new applications start to be defined by GSBPM phases / sub-processes.</w:t>
            </w:r>
          </w:p>
          <w:p w:rsidR="00613423" w:rsidRPr="00613423" w:rsidRDefault="00613423" w:rsidP="00A86BDC">
            <w:pPr>
              <w:adjustRightInd w:val="0"/>
              <w:snapToGrid w:val="0"/>
              <w:rPr>
                <w:sz w:val="20"/>
                <w:szCs w:val="20"/>
              </w:rPr>
            </w:pPr>
            <w:r w:rsidRPr="00613423">
              <w:rPr>
                <w:sz w:val="20"/>
                <w:szCs w:val="20"/>
              </w:rPr>
              <w:t>An overarching plan setting priorities for improvement, standardization and development of applications has been adopted.</w:t>
            </w:r>
            <w:r w:rsidRPr="00613423">
              <w:rPr>
                <w:sz w:val="20"/>
                <w:szCs w:val="20"/>
              </w:rPr>
              <w:br/>
              <w:t>Applications and services are mapped to GSBPM phases /sub-processes.</w:t>
            </w:r>
          </w:p>
        </w:tc>
        <w:tc>
          <w:tcPr>
            <w:tcW w:w="929" w:type="pct"/>
            <w:tcMar>
              <w:top w:w="30" w:type="dxa"/>
              <w:left w:w="30" w:type="dxa"/>
              <w:bottom w:w="20" w:type="dxa"/>
              <w:right w:w="30" w:type="dxa"/>
            </w:tcMar>
          </w:tcPr>
          <w:p w:rsidR="00613423" w:rsidRPr="00613423" w:rsidRDefault="00613423" w:rsidP="00A86BDC">
            <w:pPr>
              <w:adjustRightInd w:val="0"/>
              <w:snapToGrid w:val="0"/>
              <w:rPr>
                <w:sz w:val="20"/>
                <w:szCs w:val="20"/>
              </w:rPr>
            </w:pPr>
            <w:r w:rsidRPr="00613423">
              <w:rPr>
                <w:sz w:val="20"/>
                <w:szCs w:val="20"/>
              </w:rPr>
              <w:t>Using GSBPM to define statistical functions and system developments for all relevant existing applications, and as a basis for all new application development.</w:t>
            </w:r>
          </w:p>
          <w:p w:rsidR="00613423" w:rsidRPr="00613423" w:rsidRDefault="00613423" w:rsidP="00A86BDC">
            <w:pPr>
              <w:adjustRightInd w:val="0"/>
              <w:snapToGrid w:val="0"/>
              <w:rPr>
                <w:sz w:val="20"/>
                <w:szCs w:val="20"/>
              </w:rPr>
            </w:pPr>
            <w:r w:rsidRPr="00613423">
              <w:rPr>
                <w:sz w:val="20"/>
                <w:szCs w:val="20"/>
              </w:rPr>
              <w:t>Monitoring and coordination of the GSBPM implementation plan for applications.</w:t>
            </w:r>
            <w:r w:rsidRPr="00613423">
              <w:rPr>
                <w:sz w:val="20"/>
                <w:szCs w:val="20"/>
              </w:rPr>
              <w:br/>
              <w:t>A comprehensive list of IT services (Service Catalogue) is in place to manage the use of services.</w:t>
            </w:r>
          </w:p>
        </w:tc>
        <w:tc>
          <w:tcPr>
            <w:tcW w:w="1189" w:type="pct"/>
            <w:tcMar>
              <w:top w:w="30" w:type="dxa"/>
              <w:left w:w="30" w:type="dxa"/>
              <w:bottom w:w="20" w:type="dxa"/>
              <w:right w:w="30" w:type="dxa"/>
            </w:tcMar>
          </w:tcPr>
          <w:p w:rsidR="00613423" w:rsidRPr="00613423" w:rsidRDefault="00613423" w:rsidP="00A86BDC">
            <w:pPr>
              <w:adjustRightInd w:val="0"/>
              <w:snapToGrid w:val="0"/>
              <w:rPr>
                <w:sz w:val="20"/>
                <w:szCs w:val="20"/>
              </w:rPr>
            </w:pPr>
            <w:r w:rsidRPr="00613423">
              <w:rPr>
                <w:sz w:val="20"/>
                <w:szCs w:val="20"/>
              </w:rPr>
              <w:t>All relevant applications are mapped at component level to GSBPM sub-processes (or lower).</w:t>
            </w:r>
            <w:r w:rsidRPr="00613423">
              <w:rPr>
                <w:sz w:val="20"/>
                <w:szCs w:val="20"/>
              </w:rPr>
              <w:br/>
              <w:t>A comprehensive list of IT services (Service Catalogue) is used across the organisation to monitor/maintain all the components of the statistical production systems.</w:t>
            </w:r>
          </w:p>
        </w:tc>
      </w:tr>
    </w:tbl>
    <w:p w:rsidR="00184AD0" w:rsidRDefault="00184AD0" w:rsidP="00A86BDC">
      <w:pPr>
        <w:suppressAutoHyphens w:val="0"/>
        <w:adjustRightInd w:val="0"/>
        <w:snapToGrid w:val="0"/>
        <w:spacing w:line="240" w:lineRule="auto"/>
        <w:rPr>
          <w:noProof/>
          <w:lang w:val="en-US"/>
        </w:rPr>
      </w:pPr>
    </w:p>
    <w:p w:rsidR="00184AD0" w:rsidRDefault="00184AD0" w:rsidP="00A86BDC">
      <w:pPr>
        <w:suppressAutoHyphens w:val="0"/>
        <w:adjustRightInd w:val="0"/>
        <w:snapToGrid w:val="0"/>
        <w:spacing w:line="240" w:lineRule="auto"/>
        <w:rPr>
          <w:noProof/>
          <w:lang w:val="en-US"/>
        </w:rPr>
      </w:pPr>
    </w:p>
    <w:p w:rsidR="00184AD0" w:rsidRDefault="00184AD0" w:rsidP="00A86BDC">
      <w:pPr>
        <w:suppressAutoHyphens w:val="0"/>
        <w:adjustRightInd w:val="0"/>
        <w:snapToGrid w:val="0"/>
        <w:spacing w:line="240" w:lineRule="auto"/>
        <w:rPr>
          <w:noProof/>
          <w:lang w:val="en-US"/>
        </w:rPr>
      </w:pPr>
      <w:r>
        <w:rPr>
          <w:noProof/>
          <w:lang w:val="en-US"/>
        </w:rPr>
        <w:br w:type="page"/>
      </w:r>
    </w:p>
    <w:p w:rsidR="00184AD0" w:rsidRPr="00613423" w:rsidRDefault="00613423" w:rsidP="00A86BDC">
      <w:pPr>
        <w:suppressAutoHyphens w:val="0"/>
        <w:adjustRightInd w:val="0"/>
        <w:snapToGrid w:val="0"/>
        <w:spacing w:after="80" w:line="240" w:lineRule="auto"/>
        <w:rPr>
          <w:b/>
          <w:noProof/>
          <w:lang w:val="en-US"/>
        </w:rPr>
      </w:pPr>
      <w:r w:rsidRPr="00613423">
        <w:rPr>
          <w:b/>
          <w:noProof/>
          <w:lang w:val="en-US"/>
        </w:rPr>
        <w:lastRenderedPageBreak/>
        <w:t>Maturity model for risk management</w:t>
      </w:r>
    </w:p>
    <w:p w:rsidR="00613423" w:rsidRPr="00184AD0" w:rsidRDefault="009B3A89" w:rsidP="00A86BDC">
      <w:pPr>
        <w:suppressAutoHyphens w:val="0"/>
        <w:adjustRightInd w:val="0"/>
        <w:snapToGrid w:val="0"/>
        <w:spacing w:line="240" w:lineRule="auto"/>
        <w:rPr>
          <w:noProof/>
          <w:lang w:val="en-US"/>
        </w:rPr>
      </w:pPr>
      <w:r w:rsidRPr="00257A65">
        <w:rPr>
          <w:rFonts w:eastAsiaTheme="minorHAnsi"/>
          <w:noProof/>
          <w:lang w:eastAsia="en-GB"/>
        </w:rPr>
        <w:drawing>
          <wp:inline distT="0" distB="0" distL="0" distR="0" wp14:anchorId="7F3B6C9D" wp14:editId="25C2B946">
            <wp:extent cx="9299334" cy="5821680"/>
            <wp:effectExtent l="0" t="0" r="0" b="7620"/>
            <wp:docPr id="510" name="Immagine 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310506" cy="5828674"/>
                    </a:xfrm>
                    <a:prstGeom prst="rect">
                      <a:avLst/>
                    </a:prstGeom>
                    <a:noFill/>
                    <a:ln>
                      <a:noFill/>
                    </a:ln>
                  </pic:spPr>
                </pic:pic>
              </a:graphicData>
            </a:graphic>
          </wp:inline>
        </w:drawing>
      </w:r>
    </w:p>
    <w:sectPr w:rsidR="00613423" w:rsidRPr="00184AD0" w:rsidSect="009B3A89">
      <w:pgSz w:w="16838" w:h="11906" w:orient="landscape"/>
      <w:pgMar w:top="1134" w:right="1134" w:bottom="1134" w:left="1134" w:header="737" w:footer="850" w:gutter="0"/>
      <w:cols w:space="720"/>
      <w:formProt w:val="0"/>
      <w:titlePg/>
      <w:docGrid w:linePitch="272"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019D" w:rsidRDefault="00DF019D">
      <w:pPr>
        <w:spacing w:line="240" w:lineRule="auto"/>
      </w:pPr>
      <w:r>
        <w:separator/>
      </w:r>
    </w:p>
  </w:endnote>
  <w:endnote w:type="continuationSeparator" w:id="0">
    <w:p w:rsidR="00DF019D" w:rsidRDefault="00DF01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P Simplified">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Nimbus Sans L">
    <w:altName w:val="Arial"/>
    <w:charset w:val="01"/>
    <w:family w:val="swiss"/>
    <w:pitch w:val="variable"/>
  </w:font>
  <w:font w:name="DejaVu Sans">
    <w:charset w:val="BA"/>
    <w:family w:val="swiss"/>
    <w:pitch w:val="variable"/>
    <w:sig w:usb0="E7002EFF" w:usb1="D200FDFF" w:usb2="0A042029" w:usb3="00000000" w:csb0="800001FF" w:csb1="00000000"/>
  </w:font>
  <w:font w:name="FreeSans">
    <w:altName w:val="Times New Roman"/>
    <w:charset w:val="00"/>
    <w:family w:val="swiss"/>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6F1F" w:rsidRDefault="00AA6F1F">
    <w:pPr>
      <w:pStyle w:val="Footer"/>
      <w:tabs>
        <w:tab w:val="right" w:pos="9638"/>
      </w:tabs>
    </w:pPr>
    <w:r>
      <w:rPr>
        <w:b/>
        <w:sz w:val="18"/>
      </w:rPr>
      <w:fldChar w:fldCharType="begin"/>
    </w:r>
    <w:r>
      <w:instrText>PAGE</w:instrText>
    </w:r>
    <w:r>
      <w:fldChar w:fldCharType="separate"/>
    </w:r>
    <w:r w:rsidR="004F2826">
      <w:rPr>
        <w:noProof/>
      </w:rPr>
      <w:t>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6F1F" w:rsidRDefault="00AA6F1F">
    <w:pPr>
      <w:pStyle w:val="Footer"/>
      <w:tabs>
        <w:tab w:val="right" w:pos="9638"/>
      </w:tabs>
    </w:pPr>
    <w:r>
      <w:tab/>
    </w:r>
    <w:r>
      <w:rPr>
        <w:b/>
        <w:sz w:val="18"/>
      </w:rPr>
      <w:fldChar w:fldCharType="begin"/>
    </w:r>
    <w:r>
      <w:instrText>PAGE</w:instrText>
    </w:r>
    <w:r>
      <w:fldChar w:fldCharType="separate"/>
    </w:r>
    <w:r w:rsidR="004F2826">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019D" w:rsidRDefault="00DF019D">
      <w:pPr>
        <w:spacing w:line="240" w:lineRule="auto"/>
      </w:pPr>
      <w:r>
        <w:separator/>
      </w:r>
    </w:p>
  </w:footnote>
  <w:footnote w:type="continuationSeparator" w:id="0">
    <w:p w:rsidR="00DF019D" w:rsidRDefault="00DF019D">
      <w:pPr>
        <w:spacing w:line="240" w:lineRule="auto"/>
      </w:pPr>
      <w:r>
        <w:continuationSeparator/>
      </w:r>
    </w:p>
  </w:footnote>
  <w:footnote w:id="1">
    <w:p w:rsidR="00910BF7" w:rsidRPr="00A61078" w:rsidRDefault="00910BF7" w:rsidP="00A86BDC">
      <w:pPr>
        <w:pStyle w:val="FootnoteText"/>
        <w:rPr>
          <w:lang w:val="en-US"/>
        </w:rPr>
      </w:pPr>
      <w:r>
        <w:rPr>
          <w:rStyle w:val="FootnoteReference"/>
        </w:rPr>
        <w:footnoteRef/>
      </w:r>
      <w:r>
        <w:t xml:space="preserve"> </w:t>
      </w:r>
      <w:r w:rsidRPr="00A61078">
        <w:t>http://www.paris21.org/capacity-development-40</w:t>
      </w:r>
    </w:p>
  </w:footnote>
  <w:footnote w:id="2">
    <w:p w:rsidR="00910BF7" w:rsidRPr="00EC5524" w:rsidRDefault="00A86BDC" w:rsidP="00910BF7">
      <w:pPr>
        <w:pStyle w:val="FootnoteText"/>
        <w:rPr>
          <w:lang w:val="en-US"/>
        </w:rPr>
      </w:pPr>
      <w:r>
        <w:tab/>
      </w:r>
      <w:r w:rsidR="00910BF7">
        <w:rPr>
          <w:rStyle w:val="FootnoteReference"/>
        </w:rPr>
        <w:footnoteRef/>
      </w:r>
      <w:r w:rsidR="00910BF7">
        <w:t xml:space="preserve"> </w:t>
      </w:r>
      <w:r w:rsidR="00910BF7" w:rsidRPr="00EC5524">
        <w:t>Derived from the definition used in The Open Group A</w:t>
      </w:r>
      <w:r>
        <w:t xml:space="preserve">rchitecture Framework (TOGAF) </w:t>
      </w:r>
      <w:hyperlink r:id="rId1" w:history="1">
        <w:r w:rsidR="00910BF7" w:rsidRPr="00D36C7A">
          <w:rPr>
            <w:rStyle w:val="Hyperlink"/>
          </w:rPr>
          <w:t>http://pubs.opengroup.org/architecture/togaf9-doc/arch/chap03.html</w:t>
        </w:r>
      </w:hyperlink>
      <w:r w:rsidR="00910BF7">
        <w:t xml:space="preserve"> </w:t>
      </w:r>
    </w:p>
  </w:footnote>
  <w:footnote w:id="3">
    <w:p w:rsidR="00343E0D" w:rsidRPr="00C3700E" w:rsidRDefault="00A86BDC" w:rsidP="00343E0D">
      <w:pPr>
        <w:pStyle w:val="FootnoteText"/>
        <w:rPr>
          <w:lang w:val="en-US"/>
        </w:rPr>
      </w:pPr>
      <w:r>
        <w:tab/>
      </w:r>
      <w:r w:rsidR="00343E0D">
        <w:rPr>
          <w:rStyle w:val="FootnoteReference"/>
        </w:rPr>
        <w:footnoteRef/>
      </w:r>
      <w:r w:rsidR="00343E0D">
        <w:t xml:space="preserve"> </w:t>
      </w:r>
      <w:hyperlink r:id="rId2" w:history="1">
        <w:r w:rsidR="00343E0D" w:rsidRPr="003760B6">
          <w:rPr>
            <w:rStyle w:val="Hyperlink"/>
          </w:rPr>
          <w:t>http://www.opengroup.org/soa/source-book/osimmv2/</w:t>
        </w:r>
      </w:hyperlink>
      <w:r w:rsidR="00343E0D">
        <w:t xml:space="preserve"> </w:t>
      </w:r>
    </w:p>
  </w:footnote>
  <w:footnote w:id="4">
    <w:p w:rsidR="00343E0D" w:rsidRPr="00C3700E" w:rsidRDefault="00343E0D" w:rsidP="00343E0D">
      <w:pPr>
        <w:pStyle w:val="FootnoteText"/>
        <w:rPr>
          <w:lang w:val="en-US"/>
        </w:rPr>
      </w:pPr>
      <w:r>
        <w:tab/>
      </w:r>
      <w:r>
        <w:rPr>
          <w:rStyle w:val="FootnoteReference"/>
        </w:rPr>
        <w:footnoteRef/>
      </w:r>
      <w:r>
        <w:t xml:space="preserve"> </w:t>
      </w:r>
      <w:hyperlink r:id="rId3" w:history="1">
        <w:r w:rsidRPr="003760B6">
          <w:rPr>
            <w:rStyle w:val="Hyperlink"/>
          </w:rPr>
          <w:t>https://statswiki.unece.org/pages/viewpage.action?pageId=129172266</w:t>
        </w:r>
      </w:hyperlink>
      <w:r>
        <w:t xml:space="preserve"> </w:t>
      </w:r>
    </w:p>
  </w:footnote>
  <w:footnote w:id="5">
    <w:p w:rsidR="008158DB" w:rsidRPr="00EF5369" w:rsidRDefault="008158DB" w:rsidP="00A86BDC">
      <w:pPr>
        <w:pStyle w:val="FootnoteText"/>
        <w:rPr>
          <w:lang w:val="en-US"/>
        </w:rPr>
      </w:pPr>
      <w:bookmarkStart w:id="5" w:name="_GoBack"/>
      <w:bookmarkEnd w:id="5"/>
      <w:r>
        <w:rPr>
          <w:rStyle w:val="FootnoteReference"/>
        </w:rPr>
        <w:footnoteRef/>
      </w:r>
      <w:r>
        <w:t xml:space="preserve"> </w:t>
      </w:r>
      <w:hyperlink r:id="rId4" w:history="1">
        <w:r w:rsidRPr="003760B6">
          <w:rPr>
            <w:rStyle w:val="Hyperlink"/>
          </w:rPr>
          <w:t>https://statswiki.unece.org/display/RMIMS/MMM+Roadmap+Tools</w:t>
        </w:r>
      </w:hyperlink>
      <w:r>
        <w:t xml:space="preserve"> </w:t>
      </w:r>
    </w:p>
  </w:footnote>
  <w:footnote w:id="6">
    <w:p w:rsidR="00613423" w:rsidRPr="00127018" w:rsidRDefault="00613423">
      <w:pPr>
        <w:pStyle w:val="FootnoteText"/>
        <w:rPr>
          <w:lang w:val="fr-CH"/>
        </w:rPr>
      </w:pPr>
      <w:r>
        <w:rPr>
          <w:rStyle w:val="FootnoteReference"/>
        </w:rPr>
        <w:footnoteRef/>
      </w:r>
      <w:r w:rsidRPr="00127018">
        <w:rPr>
          <w:lang w:val="fr-CH"/>
        </w:rPr>
        <w:t xml:space="preserve"> Source: </w:t>
      </w:r>
      <w:hyperlink r:id="rId5" w:history="1">
        <w:r w:rsidR="00FC2179" w:rsidRPr="00127018">
          <w:rPr>
            <w:rStyle w:val="Hyperlink"/>
            <w:lang w:val="fr-CH"/>
          </w:rPr>
          <w:t>https://statswiki.unece.org/pages/viewpage.action?pageId=129172266</w:t>
        </w:r>
      </w:hyperlink>
      <w:r w:rsidR="00FC2179" w:rsidRPr="00127018">
        <w:rPr>
          <w:lang w:val="fr-CH"/>
        </w:rPr>
        <w:t xml:space="preserve"> </w:t>
      </w:r>
      <w:r w:rsidRPr="00127018">
        <w:rPr>
          <w:lang w:val="fr-CH"/>
        </w:rPr>
        <w:t xml:space="preserve"> </w:t>
      </w:r>
    </w:p>
  </w:footnote>
  <w:footnote w:id="7">
    <w:p w:rsidR="00613423" w:rsidRPr="00127018" w:rsidRDefault="00613423">
      <w:pPr>
        <w:pStyle w:val="FootnoteText"/>
        <w:rPr>
          <w:lang w:val="fr-CH"/>
        </w:rPr>
      </w:pPr>
      <w:r>
        <w:rPr>
          <w:rStyle w:val="FootnoteReference"/>
        </w:rPr>
        <w:footnoteRef/>
      </w:r>
      <w:r w:rsidRPr="00127018">
        <w:rPr>
          <w:lang w:val="fr-CH"/>
        </w:rPr>
        <w:t xml:space="preserve"> Source: </w:t>
      </w:r>
      <w:hyperlink r:id="rId6" w:history="1">
        <w:r w:rsidRPr="00127018">
          <w:rPr>
            <w:rStyle w:val="Hyperlink"/>
            <w:lang w:val="fr-CH"/>
          </w:rPr>
          <w:t>https://statswiki.unece.org/display/GORM/8.+Risk+management+maturity+model</w:t>
        </w:r>
      </w:hyperlink>
      <w:r w:rsidRPr="00127018">
        <w:rPr>
          <w:lang w:val="fr-CH"/>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C00402BE"/>
    <w:lvl w:ilvl="0">
      <w:start w:val="1"/>
      <w:numFmt w:val="decimal"/>
      <w:lvlText w:val="%1."/>
      <w:lvlJc w:val="left"/>
      <w:pPr>
        <w:tabs>
          <w:tab w:val="num" w:pos="360"/>
        </w:tabs>
        <w:ind w:left="360" w:hanging="360"/>
      </w:pPr>
    </w:lvl>
  </w:abstractNum>
  <w:abstractNum w:abstractNumId="1" w15:restartNumberingAfterBreak="0">
    <w:nsid w:val="061D337E"/>
    <w:multiLevelType w:val="hybridMultilevel"/>
    <w:tmpl w:val="6406A5C4"/>
    <w:lvl w:ilvl="0" w:tplc="F8AEE7A2">
      <w:start w:val="1"/>
      <w:numFmt w:val="bullet"/>
      <w:lvlText w:val="•"/>
      <w:lvlJc w:val="left"/>
      <w:pPr>
        <w:tabs>
          <w:tab w:val="num" w:pos="720"/>
        </w:tabs>
        <w:ind w:left="720" w:hanging="360"/>
      </w:pPr>
      <w:rPr>
        <w:rFonts w:ascii="HP Simplified" w:hAnsi="HP Simplified" w:hint="default"/>
      </w:rPr>
    </w:lvl>
    <w:lvl w:ilvl="1" w:tplc="B62EA75E" w:tentative="1">
      <w:start w:val="1"/>
      <w:numFmt w:val="bullet"/>
      <w:lvlText w:val="•"/>
      <w:lvlJc w:val="left"/>
      <w:pPr>
        <w:tabs>
          <w:tab w:val="num" w:pos="1440"/>
        </w:tabs>
        <w:ind w:left="1440" w:hanging="360"/>
      </w:pPr>
      <w:rPr>
        <w:rFonts w:ascii="HP Simplified" w:hAnsi="HP Simplified" w:hint="default"/>
      </w:rPr>
    </w:lvl>
    <w:lvl w:ilvl="2" w:tplc="55FE6E18" w:tentative="1">
      <w:start w:val="1"/>
      <w:numFmt w:val="bullet"/>
      <w:lvlText w:val="•"/>
      <w:lvlJc w:val="left"/>
      <w:pPr>
        <w:tabs>
          <w:tab w:val="num" w:pos="2160"/>
        </w:tabs>
        <w:ind w:left="2160" w:hanging="360"/>
      </w:pPr>
      <w:rPr>
        <w:rFonts w:ascii="HP Simplified" w:hAnsi="HP Simplified" w:hint="default"/>
      </w:rPr>
    </w:lvl>
    <w:lvl w:ilvl="3" w:tplc="EB4ECE8E" w:tentative="1">
      <w:start w:val="1"/>
      <w:numFmt w:val="bullet"/>
      <w:lvlText w:val="•"/>
      <w:lvlJc w:val="left"/>
      <w:pPr>
        <w:tabs>
          <w:tab w:val="num" w:pos="2880"/>
        </w:tabs>
        <w:ind w:left="2880" w:hanging="360"/>
      </w:pPr>
      <w:rPr>
        <w:rFonts w:ascii="HP Simplified" w:hAnsi="HP Simplified" w:hint="default"/>
      </w:rPr>
    </w:lvl>
    <w:lvl w:ilvl="4" w:tplc="D24AFC58" w:tentative="1">
      <w:start w:val="1"/>
      <w:numFmt w:val="bullet"/>
      <w:lvlText w:val="•"/>
      <w:lvlJc w:val="left"/>
      <w:pPr>
        <w:tabs>
          <w:tab w:val="num" w:pos="3600"/>
        </w:tabs>
        <w:ind w:left="3600" w:hanging="360"/>
      </w:pPr>
      <w:rPr>
        <w:rFonts w:ascii="HP Simplified" w:hAnsi="HP Simplified" w:hint="default"/>
      </w:rPr>
    </w:lvl>
    <w:lvl w:ilvl="5" w:tplc="6B2CCFA2" w:tentative="1">
      <w:start w:val="1"/>
      <w:numFmt w:val="bullet"/>
      <w:lvlText w:val="•"/>
      <w:lvlJc w:val="left"/>
      <w:pPr>
        <w:tabs>
          <w:tab w:val="num" w:pos="4320"/>
        </w:tabs>
        <w:ind w:left="4320" w:hanging="360"/>
      </w:pPr>
      <w:rPr>
        <w:rFonts w:ascii="HP Simplified" w:hAnsi="HP Simplified" w:hint="default"/>
      </w:rPr>
    </w:lvl>
    <w:lvl w:ilvl="6" w:tplc="F77C1816" w:tentative="1">
      <w:start w:val="1"/>
      <w:numFmt w:val="bullet"/>
      <w:lvlText w:val="•"/>
      <w:lvlJc w:val="left"/>
      <w:pPr>
        <w:tabs>
          <w:tab w:val="num" w:pos="5040"/>
        </w:tabs>
        <w:ind w:left="5040" w:hanging="360"/>
      </w:pPr>
      <w:rPr>
        <w:rFonts w:ascii="HP Simplified" w:hAnsi="HP Simplified" w:hint="default"/>
      </w:rPr>
    </w:lvl>
    <w:lvl w:ilvl="7" w:tplc="862CE084" w:tentative="1">
      <w:start w:val="1"/>
      <w:numFmt w:val="bullet"/>
      <w:lvlText w:val="•"/>
      <w:lvlJc w:val="left"/>
      <w:pPr>
        <w:tabs>
          <w:tab w:val="num" w:pos="5760"/>
        </w:tabs>
        <w:ind w:left="5760" w:hanging="360"/>
      </w:pPr>
      <w:rPr>
        <w:rFonts w:ascii="HP Simplified" w:hAnsi="HP Simplified" w:hint="default"/>
      </w:rPr>
    </w:lvl>
    <w:lvl w:ilvl="8" w:tplc="B34CF8F6" w:tentative="1">
      <w:start w:val="1"/>
      <w:numFmt w:val="bullet"/>
      <w:lvlText w:val="•"/>
      <w:lvlJc w:val="left"/>
      <w:pPr>
        <w:tabs>
          <w:tab w:val="num" w:pos="6480"/>
        </w:tabs>
        <w:ind w:left="6480" w:hanging="360"/>
      </w:pPr>
      <w:rPr>
        <w:rFonts w:ascii="HP Simplified" w:hAnsi="HP Simplified" w:hint="default"/>
      </w:rPr>
    </w:lvl>
  </w:abstractNum>
  <w:abstractNum w:abstractNumId="2" w15:restartNumberingAfterBreak="0">
    <w:nsid w:val="08C222AA"/>
    <w:multiLevelType w:val="multilevel"/>
    <w:tmpl w:val="FEBE82B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C832A7C"/>
    <w:multiLevelType w:val="multilevel"/>
    <w:tmpl w:val="094046B8"/>
    <w:lvl w:ilvl="0">
      <w:start w:val="1"/>
      <w:numFmt w:val="bullet"/>
      <w:lvlText w:val=""/>
      <w:lvlJc w:val="left"/>
      <w:pPr>
        <w:ind w:left="2424" w:hanging="360"/>
      </w:pPr>
      <w:rPr>
        <w:rFonts w:ascii="Symbol" w:hAnsi="Symbol" w:hint="default"/>
        <w:b w:val="0"/>
        <w:bCs/>
        <w:i w:val="0"/>
        <w:sz w:val="20"/>
        <w:szCs w:val="24"/>
      </w:rPr>
    </w:lvl>
    <w:lvl w:ilvl="1">
      <w:start w:val="1"/>
      <w:numFmt w:val="decimal"/>
      <w:lvlText w:val="%2."/>
      <w:lvlJc w:val="left"/>
      <w:pPr>
        <w:ind w:left="3144" w:hanging="360"/>
      </w:pPr>
    </w:lvl>
    <w:lvl w:ilvl="2">
      <w:start w:val="1"/>
      <w:numFmt w:val="lowerRoman"/>
      <w:lvlText w:val="%3."/>
      <w:lvlJc w:val="right"/>
      <w:pPr>
        <w:ind w:left="3864" w:hanging="180"/>
      </w:pPr>
    </w:lvl>
    <w:lvl w:ilvl="3">
      <w:start w:val="1"/>
      <w:numFmt w:val="decimal"/>
      <w:lvlText w:val="%4."/>
      <w:lvlJc w:val="left"/>
      <w:pPr>
        <w:ind w:left="4584" w:hanging="360"/>
      </w:pPr>
    </w:lvl>
    <w:lvl w:ilvl="4">
      <w:start w:val="1"/>
      <w:numFmt w:val="lowerLetter"/>
      <w:lvlText w:val="%5."/>
      <w:lvlJc w:val="left"/>
      <w:pPr>
        <w:ind w:left="5304" w:hanging="360"/>
      </w:pPr>
    </w:lvl>
    <w:lvl w:ilvl="5">
      <w:start w:val="1"/>
      <w:numFmt w:val="lowerRoman"/>
      <w:lvlText w:val="%6."/>
      <w:lvlJc w:val="right"/>
      <w:pPr>
        <w:ind w:left="6024" w:hanging="180"/>
      </w:pPr>
    </w:lvl>
    <w:lvl w:ilvl="6">
      <w:start w:val="1"/>
      <w:numFmt w:val="decimal"/>
      <w:lvlText w:val="%7."/>
      <w:lvlJc w:val="left"/>
      <w:pPr>
        <w:ind w:left="6744" w:hanging="360"/>
      </w:pPr>
    </w:lvl>
    <w:lvl w:ilvl="7">
      <w:start w:val="1"/>
      <w:numFmt w:val="lowerLetter"/>
      <w:lvlText w:val="%8."/>
      <w:lvlJc w:val="left"/>
      <w:pPr>
        <w:ind w:left="7464" w:hanging="360"/>
      </w:pPr>
    </w:lvl>
    <w:lvl w:ilvl="8">
      <w:start w:val="1"/>
      <w:numFmt w:val="lowerRoman"/>
      <w:lvlText w:val="%9."/>
      <w:lvlJc w:val="right"/>
      <w:pPr>
        <w:ind w:left="8184" w:hanging="180"/>
      </w:pPr>
    </w:lvl>
  </w:abstractNum>
  <w:abstractNum w:abstractNumId="4" w15:restartNumberingAfterBreak="0">
    <w:nsid w:val="0C8E5AE4"/>
    <w:multiLevelType w:val="hybridMultilevel"/>
    <w:tmpl w:val="5AD626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E904D5F"/>
    <w:multiLevelType w:val="hybridMultilevel"/>
    <w:tmpl w:val="DFB48240"/>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6" w15:restartNumberingAfterBreak="0">
    <w:nsid w:val="131674B7"/>
    <w:multiLevelType w:val="hybridMultilevel"/>
    <w:tmpl w:val="796456D8"/>
    <w:lvl w:ilvl="0" w:tplc="016AA50E">
      <w:start w:val="1"/>
      <w:numFmt w:val="decimal"/>
      <w:lvlText w:val="%1."/>
      <w:lvlJc w:val="left"/>
      <w:pPr>
        <w:ind w:left="1854" w:hanging="360"/>
      </w:pPr>
      <w:rPr>
        <w:rFonts w:ascii="Times New Roman" w:hAnsi="Times New Roman" w:cs="Times New Roman" w:hint="default"/>
        <w:b w:val="0"/>
        <w:i w:val="0"/>
        <w:color w:val="auto"/>
        <w:sz w:val="20"/>
        <w:szCs w:val="20"/>
      </w:rPr>
    </w:lvl>
    <w:lvl w:ilvl="1" w:tplc="08090019">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7" w15:restartNumberingAfterBreak="0">
    <w:nsid w:val="165F7ABE"/>
    <w:multiLevelType w:val="multilevel"/>
    <w:tmpl w:val="F0440160"/>
    <w:lvl w:ilvl="0">
      <w:start w:val="1"/>
      <w:numFmt w:val="decimal"/>
      <w:lvlText w:val="%1."/>
      <w:lvlJc w:val="left"/>
      <w:pPr>
        <w:ind w:left="2424" w:hanging="360"/>
      </w:pPr>
      <w:rPr>
        <w:rFonts w:cs="Times New Roman"/>
        <w:b w:val="0"/>
        <w:bCs/>
        <w:i w:val="0"/>
        <w:sz w:val="20"/>
        <w:szCs w:val="24"/>
      </w:rPr>
    </w:lvl>
    <w:lvl w:ilvl="1">
      <w:start w:val="1"/>
      <w:numFmt w:val="decimal"/>
      <w:lvlText w:val="%2."/>
      <w:lvlJc w:val="left"/>
      <w:pPr>
        <w:ind w:left="3144" w:hanging="360"/>
      </w:pPr>
    </w:lvl>
    <w:lvl w:ilvl="2">
      <w:start w:val="1"/>
      <w:numFmt w:val="lowerRoman"/>
      <w:lvlText w:val="%3."/>
      <w:lvlJc w:val="right"/>
      <w:pPr>
        <w:ind w:left="3864" w:hanging="180"/>
      </w:pPr>
    </w:lvl>
    <w:lvl w:ilvl="3">
      <w:start w:val="1"/>
      <w:numFmt w:val="decimal"/>
      <w:lvlText w:val="%4."/>
      <w:lvlJc w:val="left"/>
      <w:pPr>
        <w:ind w:left="4584" w:hanging="360"/>
      </w:pPr>
    </w:lvl>
    <w:lvl w:ilvl="4">
      <w:start w:val="1"/>
      <w:numFmt w:val="lowerLetter"/>
      <w:lvlText w:val="%5."/>
      <w:lvlJc w:val="left"/>
      <w:pPr>
        <w:ind w:left="5304" w:hanging="360"/>
      </w:pPr>
    </w:lvl>
    <w:lvl w:ilvl="5">
      <w:start w:val="1"/>
      <w:numFmt w:val="lowerRoman"/>
      <w:lvlText w:val="%6."/>
      <w:lvlJc w:val="right"/>
      <w:pPr>
        <w:ind w:left="6024" w:hanging="180"/>
      </w:pPr>
    </w:lvl>
    <w:lvl w:ilvl="6">
      <w:start w:val="1"/>
      <w:numFmt w:val="decimal"/>
      <w:lvlText w:val="%7."/>
      <w:lvlJc w:val="left"/>
      <w:pPr>
        <w:ind w:left="6744" w:hanging="360"/>
      </w:pPr>
    </w:lvl>
    <w:lvl w:ilvl="7">
      <w:start w:val="1"/>
      <w:numFmt w:val="lowerLetter"/>
      <w:lvlText w:val="%8."/>
      <w:lvlJc w:val="left"/>
      <w:pPr>
        <w:ind w:left="7464" w:hanging="360"/>
      </w:pPr>
    </w:lvl>
    <w:lvl w:ilvl="8">
      <w:start w:val="1"/>
      <w:numFmt w:val="lowerRoman"/>
      <w:lvlText w:val="%9."/>
      <w:lvlJc w:val="right"/>
      <w:pPr>
        <w:ind w:left="8184" w:hanging="180"/>
      </w:pPr>
    </w:lvl>
  </w:abstractNum>
  <w:abstractNum w:abstractNumId="8" w15:restartNumberingAfterBreak="0">
    <w:nsid w:val="1D550607"/>
    <w:multiLevelType w:val="hybridMultilevel"/>
    <w:tmpl w:val="D1E011B0"/>
    <w:lvl w:ilvl="0" w:tplc="04090001">
      <w:start w:val="1"/>
      <w:numFmt w:val="bullet"/>
      <w:lvlText w:val=""/>
      <w:lvlJc w:val="left"/>
      <w:pPr>
        <w:ind w:left="1854" w:hanging="360"/>
      </w:pPr>
      <w:rPr>
        <w:rFonts w:ascii="Symbol" w:hAnsi="Symbol"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9" w15:restartNumberingAfterBreak="0">
    <w:nsid w:val="23EF3F29"/>
    <w:multiLevelType w:val="multilevel"/>
    <w:tmpl w:val="8676CAD4"/>
    <w:lvl w:ilvl="0">
      <w:start w:val="1"/>
      <w:numFmt w:val="bullet"/>
      <w:lvlText w:val=""/>
      <w:lvlJc w:val="left"/>
      <w:pPr>
        <w:ind w:left="2424" w:hanging="360"/>
      </w:pPr>
      <w:rPr>
        <w:rFonts w:ascii="Symbol" w:hAnsi="Symbol" w:cs="Symbol" w:hint="default"/>
        <w:b w:val="0"/>
        <w:i w:val="0"/>
        <w:sz w:val="20"/>
        <w:szCs w:val="24"/>
      </w:rPr>
    </w:lvl>
    <w:lvl w:ilvl="1">
      <w:start w:val="1"/>
      <w:numFmt w:val="lowerLetter"/>
      <w:lvlText w:val="%2."/>
      <w:lvlJc w:val="left"/>
      <w:pPr>
        <w:ind w:left="3144" w:hanging="360"/>
      </w:pPr>
    </w:lvl>
    <w:lvl w:ilvl="2">
      <w:start w:val="1"/>
      <w:numFmt w:val="lowerRoman"/>
      <w:lvlText w:val="%3."/>
      <w:lvlJc w:val="right"/>
      <w:pPr>
        <w:ind w:left="3864" w:hanging="180"/>
      </w:pPr>
    </w:lvl>
    <w:lvl w:ilvl="3">
      <w:start w:val="1"/>
      <w:numFmt w:val="decimal"/>
      <w:lvlText w:val="%4."/>
      <w:lvlJc w:val="left"/>
      <w:pPr>
        <w:ind w:left="4584" w:hanging="360"/>
      </w:pPr>
    </w:lvl>
    <w:lvl w:ilvl="4">
      <w:start w:val="1"/>
      <w:numFmt w:val="lowerLetter"/>
      <w:lvlText w:val="%5."/>
      <w:lvlJc w:val="left"/>
      <w:pPr>
        <w:ind w:left="5304" w:hanging="360"/>
      </w:pPr>
    </w:lvl>
    <w:lvl w:ilvl="5">
      <w:start w:val="1"/>
      <w:numFmt w:val="lowerRoman"/>
      <w:lvlText w:val="%6."/>
      <w:lvlJc w:val="right"/>
      <w:pPr>
        <w:ind w:left="6024" w:hanging="180"/>
      </w:pPr>
    </w:lvl>
    <w:lvl w:ilvl="6">
      <w:start w:val="1"/>
      <w:numFmt w:val="decimal"/>
      <w:lvlText w:val="%7."/>
      <w:lvlJc w:val="left"/>
      <w:pPr>
        <w:ind w:left="6744" w:hanging="360"/>
      </w:pPr>
    </w:lvl>
    <w:lvl w:ilvl="7">
      <w:start w:val="1"/>
      <w:numFmt w:val="lowerLetter"/>
      <w:lvlText w:val="%8."/>
      <w:lvlJc w:val="left"/>
      <w:pPr>
        <w:ind w:left="7464" w:hanging="360"/>
      </w:pPr>
    </w:lvl>
    <w:lvl w:ilvl="8">
      <w:start w:val="1"/>
      <w:numFmt w:val="lowerRoman"/>
      <w:lvlText w:val="%9."/>
      <w:lvlJc w:val="right"/>
      <w:pPr>
        <w:ind w:left="8184" w:hanging="180"/>
      </w:pPr>
    </w:lvl>
  </w:abstractNum>
  <w:abstractNum w:abstractNumId="10" w15:restartNumberingAfterBreak="0">
    <w:nsid w:val="28417466"/>
    <w:multiLevelType w:val="multilevel"/>
    <w:tmpl w:val="671CF43A"/>
    <w:lvl w:ilvl="0">
      <w:start w:val="1"/>
      <w:numFmt w:val="lowerLetter"/>
      <w:lvlText w:val="%1)"/>
      <w:lvlJc w:val="left"/>
      <w:pPr>
        <w:ind w:left="1854" w:hanging="360"/>
      </w:pPr>
      <w:rPr>
        <w:b w:val="0"/>
        <w:i w:val="0"/>
        <w:sz w:val="20"/>
        <w:szCs w:val="24"/>
      </w:r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1" w15:restartNumberingAfterBreak="0">
    <w:nsid w:val="2CD066CE"/>
    <w:multiLevelType w:val="hybridMultilevel"/>
    <w:tmpl w:val="03F40FEE"/>
    <w:lvl w:ilvl="0" w:tplc="27EA99E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EDF6E91"/>
    <w:multiLevelType w:val="multilevel"/>
    <w:tmpl w:val="F0440160"/>
    <w:lvl w:ilvl="0">
      <w:start w:val="1"/>
      <w:numFmt w:val="decimal"/>
      <w:lvlText w:val="%1."/>
      <w:lvlJc w:val="left"/>
      <w:pPr>
        <w:ind w:left="2424" w:hanging="360"/>
      </w:pPr>
      <w:rPr>
        <w:rFonts w:cs="Times New Roman"/>
        <w:b w:val="0"/>
        <w:bCs/>
        <w:i w:val="0"/>
        <w:sz w:val="20"/>
        <w:szCs w:val="24"/>
      </w:rPr>
    </w:lvl>
    <w:lvl w:ilvl="1">
      <w:start w:val="1"/>
      <w:numFmt w:val="decimal"/>
      <w:lvlText w:val="%2."/>
      <w:lvlJc w:val="left"/>
      <w:pPr>
        <w:ind w:left="3144" w:hanging="360"/>
      </w:pPr>
    </w:lvl>
    <w:lvl w:ilvl="2">
      <w:start w:val="1"/>
      <w:numFmt w:val="lowerRoman"/>
      <w:lvlText w:val="%3."/>
      <w:lvlJc w:val="right"/>
      <w:pPr>
        <w:ind w:left="3864" w:hanging="180"/>
      </w:pPr>
    </w:lvl>
    <w:lvl w:ilvl="3">
      <w:start w:val="1"/>
      <w:numFmt w:val="decimal"/>
      <w:lvlText w:val="%4."/>
      <w:lvlJc w:val="left"/>
      <w:pPr>
        <w:ind w:left="4584" w:hanging="360"/>
      </w:pPr>
    </w:lvl>
    <w:lvl w:ilvl="4">
      <w:start w:val="1"/>
      <w:numFmt w:val="lowerLetter"/>
      <w:lvlText w:val="%5."/>
      <w:lvlJc w:val="left"/>
      <w:pPr>
        <w:ind w:left="5304" w:hanging="360"/>
      </w:pPr>
    </w:lvl>
    <w:lvl w:ilvl="5">
      <w:start w:val="1"/>
      <w:numFmt w:val="lowerRoman"/>
      <w:lvlText w:val="%6."/>
      <w:lvlJc w:val="right"/>
      <w:pPr>
        <w:ind w:left="6024" w:hanging="180"/>
      </w:pPr>
    </w:lvl>
    <w:lvl w:ilvl="6">
      <w:start w:val="1"/>
      <w:numFmt w:val="decimal"/>
      <w:lvlText w:val="%7."/>
      <w:lvlJc w:val="left"/>
      <w:pPr>
        <w:ind w:left="6744" w:hanging="360"/>
      </w:pPr>
    </w:lvl>
    <w:lvl w:ilvl="7">
      <w:start w:val="1"/>
      <w:numFmt w:val="lowerLetter"/>
      <w:lvlText w:val="%8."/>
      <w:lvlJc w:val="left"/>
      <w:pPr>
        <w:ind w:left="7464" w:hanging="360"/>
      </w:pPr>
    </w:lvl>
    <w:lvl w:ilvl="8">
      <w:start w:val="1"/>
      <w:numFmt w:val="lowerRoman"/>
      <w:lvlText w:val="%9."/>
      <w:lvlJc w:val="right"/>
      <w:pPr>
        <w:ind w:left="8184" w:hanging="180"/>
      </w:pPr>
    </w:lvl>
  </w:abstractNum>
  <w:abstractNum w:abstractNumId="13" w15:restartNumberingAfterBreak="0">
    <w:nsid w:val="338D5953"/>
    <w:multiLevelType w:val="hybridMultilevel"/>
    <w:tmpl w:val="3E887644"/>
    <w:lvl w:ilvl="0" w:tplc="8C4849AC">
      <w:start w:val="1"/>
      <w:numFmt w:val="bullet"/>
      <w:lvlText w:val="•"/>
      <w:lvlJc w:val="left"/>
      <w:pPr>
        <w:ind w:left="720" w:hanging="360"/>
      </w:pPr>
      <w:rPr>
        <w:rFonts w:ascii="Times New Roman" w:hAnsi="Times New Roman" w:cs="Times New Roman" w:hint="default"/>
        <w:b w:val="0"/>
        <w:i w:val="0"/>
        <w:sz w:val="20"/>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456D0C"/>
    <w:multiLevelType w:val="hybridMultilevel"/>
    <w:tmpl w:val="47722E4C"/>
    <w:lvl w:ilvl="0" w:tplc="0809000F">
      <w:start w:val="1"/>
      <w:numFmt w:val="decimal"/>
      <w:lvlText w:val="%1."/>
      <w:lvlJc w:val="left"/>
      <w:pPr>
        <w:ind w:left="1134" w:firstLine="0"/>
      </w:pPr>
      <w:rPr>
        <w:rFonts w:hint="default"/>
      </w:rPr>
    </w:lvl>
    <w:lvl w:ilvl="1" w:tplc="04090003" w:tentative="1">
      <w:start w:val="1"/>
      <w:numFmt w:val="bullet"/>
      <w:lvlText w:val="o"/>
      <w:lvlJc w:val="left"/>
      <w:pPr>
        <w:ind w:left="2268" w:hanging="360"/>
      </w:pPr>
      <w:rPr>
        <w:rFonts w:ascii="Courier New" w:hAnsi="Courier New" w:cs="Courier New" w:hint="default"/>
      </w:rPr>
    </w:lvl>
    <w:lvl w:ilvl="2" w:tplc="04090005" w:tentative="1">
      <w:start w:val="1"/>
      <w:numFmt w:val="bullet"/>
      <w:lvlText w:val=""/>
      <w:lvlJc w:val="left"/>
      <w:pPr>
        <w:ind w:left="2988" w:hanging="360"/>
      </w:pPr>
      <w:rPr>
        <w:rFonts w:ascii="Wingdings" w:hAnsi="Wingdings" w:hint="default"/>
      </w:rPr>
    </w:lvl>
    <w:lvl w:ilvl="3" w:tplc="04090001" w:tentative="1">
      <w:start w:val="1"/>
      <w:numFmt w:val="bullet"/>
      <w:lvlText w:val=""/>
      <w:lvlJc w:val="left"/>
      <w:pPr>
        <w:ind w:left="3708" w:hanging="360"/>
      </w:pPr>
      <w:rPr>
        <w:rFonts w:ascii="Symbol" w:hAnsi="Symbol" w:hint="default"/>
      </w:rPr>
    </w:lvl>
    <w:lvl w:ilvl="4" w:tplc="04090003" w:tentative="1">
      <w:start w:val="1"/>
      <w:numFmt w:val="bullet"/>
      <w:lvlText w:val="o"/>
      <w:lvlJc w:val="left"/>
      <w:pPr>
        <w:ind w:left="4428" w:hanging="360"/>
      </w:pPr>
      <w:rPr>
        <w:rFonts w:ascii="Courier New" w:hAnsi="Courier New" w:cs="Courier New" w:hint="default"/>
      </w:rPr>
    </w:lvl>
    <w:lvl w:ilvl="5" w:tplc="04090005" w:tentative="1">
      <w:start w:val="1"/>
      <w:numFmt w:val="bullet"/>
      <w:lvlText w:val=""/>
      <w:lvlJc w:val="left"/>
      <w:pPr>
        <w:ind w:left="5148" w:hanging="360"/>
      </w:pPr>
      <w:rPr>
        <w:rFonts w:ascii="Wingdings" w:hAnsi="Wingdings" w:hint="default"/>
      </w:rPr>
    </w:lvl>
    <w:lvl w:ilvl="6" w:tplc="04090001" w:tentative="1">
      <w:start w:val="1"/>
      <w:numFmt w:val="bullet"/>
      <w:lvlText w:val=""/>
      <w:lvlJc w:val="left"/>
      <w:pPr>
        <w:ind w:left="5868" w:hanging="360"/>
      </w:pPr>
      <w:rPr>
        <w:rFonts w:ascii="Symbol" w:hAnsi="Symbol" w:hint="default"/>
      </w:rPr>
    </w:lvl>
    <w:lvl w:ilvl="7" w:tplc="04090003" w:tentative="1">
      <w:start w:val="1"/>
      <w:numFmt w:val="bullet"/>
      <w:lvlText w:val="o"/>
      <w:lvlJc w:val="left"/>
      <w:pPr>
        <w:ind w:left="6588" w:hanging="360"/>
      </w:pPr>
      <w:rPr>
        <w:rFonts w:ascii="Courier New" w:hAnsi="Courier New" w:cs="Courier New" w:hint="default"/>
      </w:rPr>
    </w:lvl>
    <w:lvl w:ilvl="8" w:tplc="04090005" w:tentative="1">
      <w:start w:val="1"/>
      <w:numFmt w:val="bullet"/>
      <w:lvlText w:val=""/>
      <w:lvlJc w:val="left"/>
      <w:pPr>
        <w:ind w:left="7308" w:hanging="360"/>
      </w:pPr>
      <w:rPr>
        <w:rFonts w:ascii="Wingdings" w:hAnsi="Wingdings" w:hint="default"/>
      </w:rPr>
    </w:lvl>
  </w:abstractNum>
  <w:abstractNum w:abstractNumId="15" w15:restartNumberingAfterBreak="0">
    <w:nsid w:val="367A14E7"/>
    <w:multiLevelType w:val="hybridMultilevel"/>
    <w:tmpl w:val="1B5844D4"/>
    <w:lvl w:ilvl="0" w:tplc="872ABAB6">
      <w:start w:val="1"/>
      <w:numFmt w:val="decimal"/>
      <w:lvlText w:val="%1."/>
      <w:lvlJc w:val="left"/>
      <w:pPr>
        <w:tabs>
          <w:tab w:val="num" w:pos="567"/>
        </w:tabs>
        <w:ind w:left="0" w:firstLine="0"/>
      </w:pPr>
      <w:rPr>
        <w:rFonts w:ascii="Times New Roman" w:hAnsi="Times New Roman" w:hint="default"/>
        <w:b w:val="0"/>
        <w:i w:val="0"/>
        <w:color w:val="auto"/>
        <w:sz w:val="24"/>
        <w:szCs w:val="24"/>
      </w:rPr>
    </w:lvl>
    <w:lvl w:ilvl="1" w:tplc="04090017">
      <w:start w:val="1"/>
      <w:numFmt w:val="lowerLetter"/>
      <w:lvlText w:val="%2)"/>
      <w:lvlJc w:val="left"/>
      <w:pPr>
        <w:tabs>
          <w:tab w:val="num" w:pos="1440"/>
        </w:tabs>
        <w:ind w:left="1440" w:hanging="360"/>
      </w:pPr>
      <w:rPr>
        <w:rFonts w:hint="default"/>
        <w:b w:val="0"/>
        <w:i w:val="0"/>
        <w:sz w:val="24"/>
        <w:szCs w:val="24"/>
      </w:rPr>
    </w:lvl>
    <w:lvl w:ilvl="2" w:tplc="100C001B" w:tentative="1">
      <w:start w:val="1"/>
      <w:numFmt w:val="lowerRoman"/>
      <w:lvlText w:val="%3."/>
      <w:lvlJc w:val="right"/>
      <w:pPr>
        <w:tabs>
          <w:tab w:val="num" w:pos="2160"/>
        </w:tabs>
        <w:ind w:left="2160" w:hanging="180"/>
      </w:pPr>
    </w:lvl>
    <w:lvl w:ilvl="3" w:tplc="100C000F" w:tentative="1">
      <w:start w:val="1"/>
      <w:numFmt w:val="decimal"/>
      <w:lvlText w:val="%4."/>
      <w:lvlJc w:val="left"/>
      <w:pPr>
        <w:tabs>
          <w:tab w:val="num" w:pos="2880"/>
        </w:tabs>
        <w:ind w:left="2880" w:hanging="360"/>
      </w:pPr>
    </w:lvl>
    <w:lvl w:ilvl="4" w:tplc="100C0019" w:tentative="1">
      <w:start w:val="1"/>
      <w:numFmt w:val="lowerLetter"/>
      <w:lvlText w:val="%5."/>
      <w:lvlJc w:val="left"/>
      <w:pPr>
        <w:tabs>
          <w:tab w:val="num" w:pos="3600"/>
        </w:tabs>
        <w:ind w:left="3600" w:hanging="360"/>
      </w:pPr>
    </w:lvl>
    <w:lvl w:ilvl="5" w:tplc="100C001B" w:tentative="1">
      <w:start w:val="1"/>
      <w:numFmt w:val="lowerRoman"/>
      <w:lvlText w:val="%6."/>
      <w:lvlJc w:val="right"/>
      <w:pPr>
        <w:tabs>
          <w:tab w:val="num" w:pos="4320"/>
        </w:tabs>
        <w:ind w:left="4320" w:hanging="180"/>
      </w:pPr>
    </w:lvl>
    <w:lvl w:ilvl="6" w:tplc="100C000F" w:tentative="1">
      <w:start w:val="1"/>
      <w:numFmt w:val="decimal"/>
      <w:lvlText w:val="%7."/>
      <w:lvlJc w:val="left"/>
      <w:pPr>
        <w:tabs>
          <w:tab w:val="num" w:pos="5040"/>
        </w:tabs>
        <w:ind w:left="5040" w:hanging="360"/>
      </w:pPr>
    </w:lvl>
    <w:lvl w:ilvl="7" w:tplc="100C0019" w:tentative="1">
      <w:start w:val="1"/>
      <w:numFmt w:val="lowerLetter"/>
      <w:lvlText w:val="%8."/>
      <w:lvlJc w:val="left"/>
      <w:pPr>
        <w:tabs>
          <w:tab w:val="num" w:pos="5760"/>
        </w:tabs>
        <w:ind w:left="5760" w:hanging="360"/>
      </w:pPr>
    </w:lvl>
    <w:lvl w:ilvl="8" w:tplc="100C001B" w:tentative="1">
      <w:start w:val="1"/>
      <w:numFmt w:val="lowerRoman"/>
      <w:lvlText w:val="%9."/>
      <w:lvlJc w:val="right"/>
      <w:pPr>
        <w:tabs>
          <w:tab w:val="num" w:pos="6480"/>
        </w:tabs>
        <w:ind w:left="6480" w:hanging="180"/>
      </w:pPr>
    </w:lvl>
  </w:abstractNum>
  <w:abstractNum w:abstractNumId="16" w15:restartNumberingAfterBreak="0">
    <w:nsid w:val="36B200C5"/>
    <w:multiLevelType w:val="hybridMultilevel"/>
    <w:tmpl w:val="FC6C7A2E"/>
    <w:lvl w:ilvl="0" w:tplc="7284C30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234769F"/>
    <w:multiLevelType w:val="multilevel"/>
    <w:tmpl w:val="F0440160"/>
    <w:lvl w:ilvl="0">
      <w:start w:val="1"/>
      <w:numFmt w:val="decimal"/>
      <w:lvlText w:val="%1."/>
      <w:lvlJc w:val="left"/>
      <w:pPr>
        <w:ind w:left="2424" w:hanging="360"/>
      </w:pPr>
      <w:rPr>
        <w:rFonts w:cs="Times New Roman"/>
        <w:b w:val="0"/>
        <w:bCs/>
        <w:i w:val="0"/>
        <w:sz w:val="20"/>
        <w:szCs w:val="24"/>
      </w:rPr>
    </w:lvl>
    <w:lvl w:ilvl="1">
      <w:start w:val="1"/>
      <w:numFmt w:val="decimal"/>
      <w:lvlText w:val="%2."/>
      <w:lvlJc w:val="left"/>
      <w:pPr>
        <w:ind w:left="3144" w:hanging="360"/>
      </w:pPr>
    </w:lvl>
    <w:lvl w:ilvl="2">
      <w:start w:val="1"/>
      <w:numFmt w:val="lowerRoman"/>
      <w:lvlText w:val="%3."/>
      <w:lvlJc w:val="right"/>
      <w:pPr>
        <w:ind w:left="3864" w:hanging="180"/>
      </w:pPr>
    </w:lvl>
    <w:lvl w:ilvl="3">
      <w:start w:val="1"/>
      <w:numFmt w:val="decimal"/>
      <w:lvlText w:val="%4."/>
      <w:lvlJc w:val="left"/>
      <w:pPr>
        <w:ind w:left="4584" w:hanging="360"/>
      </w:pPr>
    </w:lvl>
    <w:lvl w:ilvl="4">
      <w:start w:val="1"/>
      <w:numFmt w:val="lowerLetter"/>
      <w:lvlText w:val="%5."/>
      <w:lvlJc w:val="left"/>
      <w:pPr>
        <w:ind w:left="5304" w:hanging="360"/>
      </w:pPr>
    </w:lvl>
    <w:lvl w:ilvl="5">
      <w:start w:val="1"/>
      <w:numFmt w:val="lowerRoman"/>
      <w:lvlText w:val="%6."/>
      <w:lvlJc w:val="right"/>
      <w:pPr>
        <w:ind w:left="6024" w:hanging="180"/>
      </w:pPr>
    </w:lvl>
    <w:lvl w:ilvl="6">
      <w:start w:val="1"/>
      <w:numFmt w:val="decimal"/>
      <w:lvlText w:val="%7."/>
      <w:lvlJc w:val="left"/>
      <w:pPr>
        <w:ind w:left="6744" w:hanging="360"/>
      </w:pPr>
    </w:lvl>
    <w:lvl w:ilvl="7">
      <w:start w:val="1"/>
      <w:numFmt w:val="lowerLetter"/>
      <w:lvlText w:val="%8."/>
      <w:lvlJc w:val="left"/>
      <w:pPr>
        <w:ind w:left="7464" w:hanging="360"/>
      </w:pPr>
    </w:lvl>
    <w:lvl w:ilvl="8">
      <w:start w:val="1"/>
      <w:numFmt w:val="lowerRoman"/>
      <w:lvlText w:val="%9."/>
      <w:lvlJc w:val="right"/>
      <w:pPr>
        <w:ind w:left="8184" w:hanging="180"/>
      </w:pPr>
    </w:lvl>
  </w:abstractNum>
  <w:abstractNum w:abstractNumId="18" w15:restartNumberingAfterBreak="0">
    <w:nsid w:val="45DE1C51"/>
    <w:multiLevelType w:val="hybridMultilevel"/>
    <w:tmpl w:val="819227CA"/>
    <w:lvl w:ilvl="0" w:tplc="8C4849AC">
      <w:start w:val="1"/>
      <w:numFmt w:val="bullet"/>
      <w:lvlText w:val="•"/>
      <w:lvlJc w:val="left"/>
      <w:pPr>
        <w:ind w:left="720" w:hanging="360"/>
      </w:pPr>
      <w:rPr>
        <w:rFonts w:ascii="Times New Roman" w:hAnsi="Times New Roman" w:cs="Times New Roman" w:hint="default"/>
        <w:b w:val="0"/>
        <w:i w:val="0"/>
        <w:sz w:val="20"/>
      </w:rPr>
    </w:lvl>
    <w:lvl w:ilvl="1" w:tplc="08090003" w:tentative="1">
      <w:start w:val="1"/>
      <w:numFmt w:val="bullet"/>
      <w:lvlText w:val="o"/>
      <w:lvlJc w:val="left"/>
      <w:pPr>
        <w:ind w:left="1440" w:hanging="360"/>
      </w:pPr>
      <w:rPr>
        <w:rFonts w:ascii="Courier New" w:hAnsi="Courier New" w:cs="Courier New" w:hint="default"/>
      </w:rPr>
    </w:lvl>
    <w:lvl w:ilvl="2" w:tplc="8C4849AC">
      <w:start w:val="1"/>
      <w:numFmt w:val="bullet"/>
      <w:lvlText w:val="•"/>
      <w:lvlJc w:val="left"/>
      <w:pPr>
        <w:ind w:left="2160" w:hanging="360"/>
      </w:pPr>
      <w:rPr>
        <w:rFonts w:ascii="Times New Roman" w:hAnsi="Times New Roman" w:cs="Times New Roman" w:hint="default"/>
        <w:b w:val="0"/>
        <w:i w:val="0"/>
        <w:sz w:val="20"/>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D1E3142"/>
    <w:multiLevelType w:val="hybridMultilevel"/>
    <w:tmpl w:val="C818B89C"/>
    <w:lvl w:ilvl="0" w:tplc="AF10803C">
      <w:start w:val="1"/>
      <w:numFmt w:val="decimal"/>
      <w:lvlText w:val="%1."/>
      <w:lvlJc w:val="left"/>
      <w:pPr>
        <w:ind w:left="1854" w:hanging="360"/>
      </w:pPr>
      <w:rPr>
        <w:rFonts w:ascii="Times New Roman" w:hAnsi="Times New Roman" w:cs="Times New Roman" w:hint="default"/>
        <w:b w:val="0"/>
        <w:i w:val="0"/>
        <w:color w:val="auto"/>
        <w:sz w:val="20"/>
        <w:szCs w:val="2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0" w15:restartNumberingAfterBreak="0">
    <w:nsid w:val="545630CD"/>
    <w:multiLevelType w:val="hybridMultilevel"/>
    <w:tmpl w:val="D1CC0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8C1418"/>
    <w:multiLevelType w:val="hybridMultilevel"/>
    <w:tmpl w:val="FE90A7DE"/>
    <w:lvl w:ilvl="0" w:tplc="E71A6598">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2" w15:restartNumberingAfterBreak="0">
    <w:nsid w:val="59B53218"/>
    <w:multiLevelType w:val="hybridMultilevel"/>
    <w:tmpl w:val="EB0AA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E60FBE"/>
    <w:multiLevelType w:val="multilevel"/>
    <w:tmpl w:val="48C2A5B2"/>
    <w:lvl w:ilvl="0">
      <w:start w:val="1"/>
      <w:numFmt w:val="lowerLetter"/>
      <w:lvlText w:val="%1)"/>
      <w:lvlJc w:val="left"/>
      <w:pPr>
        <w:ind w:left="1854" w:hanging="360"/>
      </w:pPr>
      <w:rPr>
        <w:b w:val="0"/>
        <w:i w:val="0"/>
        <w:sz w:val="20"/>
        <w:szCs w:val="24"/>
      </w:r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4" w15:restartNumberingAfterBreak="0">
    <w:nsid w:val="5AD02964"/>
    <w:multiLevelType w:val="multilevel"/>
    <w:tmpl w:val="F0440160"/>
    <w:lvl w:ilvl="0">
      <w:start w:val="1"/>
      <w:numFmt w:val="decimal"/>
      <w:lvlText w:val="%1."/>
      <w:lvlJc w:val="left"/>
      <w:pPr>
        <w:ind w:left="2424" w:hanging="360"/>
      </w:pPr>
      <w:rPr>
        <w:rFonts w:cs="Times New Roman"/>
        <w:b w:val="0"/>
        <w:bCs/>
        <w:i w:val="0"/>
        <w:sz w:val="20"/>
        <w:szCs w:val="24"/>
      </w:rPr>
    </w:lvl>
    <w:lvl w:ilvl="1">
      <w:start w:val="1"/>
      <w:numFmt w:val="decimal"/>
      <w:lvlText w:val="%2."/>
      <w:lvlJc w:val="left"/>
      <w:pPr>
        <w:ind w:left="3144" w:hanging="360"/>
      </w:pPr>
    </w:lvl>
    <w:lvl w:ilvl="2">
      <w:start w:val="1"/>
      <w:numFmt w:val="lowerRoman"/>
      <w:lvlText w:val="%3."/>
      <w:lvlJc w:val="right"/>
      <w:pPr>
        <w:ind w:left="3864" w:hanging="180"/>
      </w:pPr>
    </w:lvl>
    <w:lvl w:ilvl="3">
      <w:start w:val="1"/>
      <w:numFmt w:val="decimal"/>
      <w:lvlText w:val="%4."/>
      <w:lvlJc w:val="left"/>
      <w:pPr>
        <w:ind w:left="4584" w:hanging="360"/>
      </w:pPr>
    </w:lvl>
    <w:lvl w:ilvl="4">
      <w:start w:val="1"/>
      <w:numFmt w:val="lowerLetter"/>
      <w:lvlText w:val="%5."/>
      <w:lvlJc w:val="left"/>
      <w:pPr>
        <w:ind w:left="5304" w:hanging="360"/>
      </w:pPr>
    </w:lvl>
    <w:lvl w:ilvl="5">
      <w:start w:val="1"/>
      <w:numFmt w:val="lowerRoman"/>
      <w:lvlText w:val="%6."/>
      <w:lvlJc w:val="right"/>
      <w:pPr>
        <w:ind w:left="6024" w:hanging="180"/>
      </w:pPr>
    </w:lvl>
    <w:lvl w:ilvl="6">
      <w:start w:val="1"/>
      <w:numFmt w:val="decimal"/>
      <w:lvlText w:val="%7."/>
      <w:lvlJc w:val="left"/>
      <w:pPr>
        <w:ind w:left="6744" w:hanging="360"/>
      </w:pPr>
    </w:lvl>
    <w:lvl w:ilvl="7">
      <w:start w:val="1"/>
      <w:numFmt w:val="lowerLetter"/>
      <w:lvlText w:val="%8."/>
      <w:lvlJc w:val="left"/>
      <w:pPr>
        <w:ind w:left="7464" w:hanging="360"/>
      </w:pPr>
    </w:lvl>
    <w:lvl w:ilvl="8">
      <w:start w:val="1"/>
      <w:numFmt w:val="lowerRoman"/>
      <w:lvlText w:val="%9."/>
      <w:lvlJc w:val="right"/>
      <w:pPr>
        <w:ind w:left="8184" w:hanging="180"/>
      </w:pPr>
    </w:lvl>
  </w:abstractNum>
  <w:abstractNum w:abstractNumId="25" w15:restartNumberingAfterBreak="0">
    <w:nsid w:val="5CED2FFF"/>
    <w:multiLevelType w:val="hybridMultilevel"/>
    <w:tmpl w:val="3216C49A"/>
    <w:lvl w:ilvl="0" w:tplc="72B86690">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6" w15:restartNumberingAfterBreak="0">
    <w:nsid w:val="638F3A67"/>
    <w:multiLevelType w:val="hybridMultilevel"/>
    <w:tmpl w:val="8446D2A6"/>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7"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2B3171B"/>
    <w:multiLevelType w:val="hybridMultilevel"/>
    <w:tmpl w:val="5B2E9056"/>
    <w:lvl w:ilvl="0" w:tplc="CC38186A">
      <w:start w:val="1"/>
      <w:numFmt w:val="bullet"/>
      <w:lvlText w:val="•"/>
      <w:lvlJc w:val="left"/>
      <w:pPr>
        <w:tabs>
          <w:tab w:val="num" w:pos="720"/>
        </w:tabs>
        <w:ind w:left="720" w:hanging="360"/>
      </w:pPr>
      <w:rPr>
        <w:rFonts w:ascii="HP Simplified" w:hAnsi="HP Simplified" w:hint="default"/>
      </w:rPr>
    </w:lvl>
    <w:lvl w:ilvl="1" w:tplc="F410C304" w:tentative="1">
      <w:start w:val="1"/>
      <w:numFmt w:val="bullet"/>
      <w:lvlText w:val="•"/>
      <w:lvlJc w:val="left"/>
      <w:pPr>
        <w:tabs>
          <w:tab w:val="num" w:pos="1440"/>
        </w:tabs>
        <w:ind w:left="1440" w:hanging="360"/>
      </w:pPr>
      <w:rPr>
        <w:rFonts w:ascii="HP Simplified" w:hAnsi="HP Simplified" w:hint="default"/>
      </w:rPr>
    </w:lvl>
    <w:lvl w:ilvl="2" w:tplc="FAB22190" w:tentative="1">
      <w:start w:val="1"/>
      <w:numFmt w:val="bullet"/>
      <w:lvlText w:val="•"/>
      <w:lvlJc w:val="left"/>
      <w:pPr>
        <w:tabs>
          <w:tab w:val="num" w:pos="2160"/>
        </w:tabs>
        <w:ind w:left="2160" w:hanging="360"/>
      </w:pPr>
      <w:rPr>
        <w:rFonts w:ascii="HP Simplified" w:hAnsi="HP Simplified" w:hint="default"/>
      </w:rPr>
    </w:lvl>
    <w:lvl w:ilvl="3" w:tplc="FCCA6D46" w:tentative="1">
      <w:start w:val="1"/>
      <w:numFmt w:val="bullet"/>
      <w:lvlText w:val="•"/>
      <w:lvlJc w:val="left"/>
      <w:pPr>
        <w:tabs>
          <w:tab w:val="num" w:pos="2880"/>
        </w:tabs>
        <w:ind w:left="2880" w:hanging="360"/>
      </w:pPr>
      <w:rPr>
        <w:rFonts w:ascii="HP Simplified" w:hAnsi="HP Simplified" w:hint="default"/>
      </w:rPr>
    </w:lvl>
    <w:lvl w:ilvl="4" w:tplc="B206101A" w:tentative="1">
      <w:start w:val="1"/>
      <w:numFmt w:val="bullet"/>
      <w:lvlText w:val="•"/>
      <w:lvlJc w:val="left"/>
      <w:pPr>
        <w:tabs>
          <w:tab w:val="num" w:pos="3600"/>
        </w:tabs>
        <w:ind w:left="3600" w:hanging="360"/>
      </w:pPr>
      <w:rPr>
        <w:rFonts w:ascii="HP Simplified" w:hAnsi="HP Simplified" w:hint="default"/>
      </w:rPr>
    </w:lvl>
    <w:lvl w:ilvl="5" w:tplc="3BDE368E" w:tentative="1">
      <w:start w:val="1"/>
      <w:numFmt w:val="bullet"/>
      <w:lvlText w:val="•"/>
      <w:lvlJc w:val="left"/>
      <w:pPr>
        <w:tabs>
          <w:tab w:val="num" w:pos="4320"/>
        </w:tabs>
        <w:ind w:left="4320" w:hanging="360"/>
      </w:pPr>
      <w:rPr>
        <w:rFonts w:ascii="HP Simplified" w:hAnsi="HP Simplified" w:hint="default"/>
      </w:rPr>
    </w:lvl>
    <w:lvl w:ilvl="6" w:tplc="75FE2328" w:tentative="1">
      <w:start w:val="1"/>
      <w:numFmt w:val="bullet"/>
      <w:lvlText w:val="•"/>
      <w:lvlJc w:val="left"/>
      <w:pPr>
        <w:tabs>
          <w:tab w:val="num" w:pos="5040"/>
        </w:tabs>
        <w:ind w:left="5040" w:hanging="360"/>
      </w:pPr>
      <w:rPr>
        <w:rFonts w:ascii="HP Simplified" w:hAnsi="HP Simplified" w:hint="default"/>
      </w:rPr>
    </w:lvl>
    <w:lvl w:ilvl="7" w:tplc="26922BA4" w:tentative="1">
      <w:start w:val="1"/>
      <w:numFmt w:val="bullet"/>
      <w:lvlText w:val="•"/>
      <w:lvlJc w:val="left"/>
      <w:pPr>
        <w:tabs>
          <w:tab w:val="num" w:pos="5760"/>
        </w:tabs>
        <w:ind w:left="5760" w:hanging="360"/>
      </w:pPr>
      <w:rPr>
        <w:rFonts w:ascii="HP Simplified" w:hAnsi="HP Simplified" w:hint="default"/>
      </w:rPr>
    </w:lvl>
    <w:lvl w:ilvl="8" w:tplc="AB48743E" w:tentative="1">
      <w:start w:val="1"/>
      <w:numFmt w:val="bullet"/>
      <w:lvlText w:val="•"/>
      <w:lvlJc w:val="left"/>
      <w:pPr>
        <w:tabs>
          <w:tab w:val="num" w:pos="6480"/>
        </w:tabs>
        <w:ind w:left="6480" w:hanging="360"/>
      </w:pPr>
      <w:rPr>
        <w:rFonts w:ascii="HP Simplified" w:hAnsi="HP Simplified" w:hint="default"/>
      </w:rPr>
    </w:lvl>
  </w:abstractNum>
  <w:abstractNum w:abstractNumId="29" w15:restartNumberingAfterBreak="0">
    <w:nsid w:val="78CD2CE2"/>
    <w:multiLevelType w:val="multilevel"/>
    <w:tmpl w:val="F0440160"/>
    <w:lvl w:ilvl="0">
      <w:start w:val="1"/>
      <w:numFmt w:val="decimal"/>
      <w:lvlText w:val="%1."/>
      <w:lvlJc w:val="left"/>
      <w:pPr>
        <w:ind w:left="2424" w:hanging="360"/>
      </w:pPr>
      <w:rPr>
        <w:rFonts w:cs="Times New Roman"/>
        <w:b w:val="0"/>
        <w:bCs/>
        <w:i w:val="0"/>
        <w:sz w:val="20"/>
        <w:szCs w:val="24"/>
      </w:rPr>
    </w:lvl>
    <w:lvl w:ilvl="1">
      <w:start w:val="1"/>
      <w:numFmt w:val="decimal"/>
      <w:lvlText w:val="%2."/>
      <w:lvlJc w:val="left"/>
      <w:pPr>
        <w:ind w:left="3144" w:hanging="360"/>
      </w:pPr>
    </w:lvl>
    <w:lvl w:ilvl="2">
      <w:start w:val="1"/>
      <w:numFmt w:val="lowerRoman"/>
      <w:lvlText w:val="%3."/>
      <w:lvlJc w:val="right"/>
      <w:pPr>
        <w:ind w:left="3864" w:hanging="180"/>
      </w:pPr>
    </w:lvl>
    <w:lvl w:ilvl="3">
      <w:start w:val="1"/>
      <w:numFmt w:val="decimal"/>
      <w:lvlText w:val="%4."/>
      <w:lvlJc w:val="left"/>
      <w:pPr>
        <w:ind w:left="4584" w:hanging="360"/>
      </w:pPr>
    </w:lvl>
    <w:lvl w:ilvl="4">
      <w:start w:val="1"/>
      <w:numFmt w:val="lowerLetter"/>
      <w:lvlText w:val="%5."/>
      <w:lvlJc w:val="left"/>
      <w:pPr>
        <w:ind w:left="5304" w:hanging="360"/>
      </w:pPr>
    </w:lvl>
    <w:lvl w:ilvl="5">
      <w:start w:val="1"/>
      <w:numFmt w:val="lowerRoman"/>
      <w:lvlText w:val="%6."/>
      <w:lvlJc w:val="right"/>
      <w:pPr>
        <w:ind w:left="6024" w:hanging="180"/>
      </w:pPr>
    </w:lvl>
    <w:lvl w:ilvl="6">
      <w:start w:val="1"/>
      <w:numFmt w:val="decimal"/>
      <w:lvlText w:val="%7."/>
      <w:lvlJc w:val="left"/>
      <w:pPr>
        <w:ind w:left="6744" w:hanging="360"/>
      </w:pPr>
    </w:lvl>
    <w:lvl w:ilvl="7">
      <w:start w:val="1"/>
      <w:numFmt w:val="lowerLetter"/>
      <w:lvlText w:val="%8."/>
      <w:lvlJc w:val="left"/>
      <w:pPr>
        <w:ind w:left="7464" w:hanging="360"/>
      </w:pPr>
    </w:lvl>
    <w:lvl w:ilvl="8">
      <w:start w:val="1"/>
      <w:numFmt w:val="lowerRoman"/>
      <w:lvlText w:val="%9."/>
      <w:lvlJc w:val="right"/>
      <w:pPr>
        <w:ind w:left="8184" w:hanging="180"/>
      </w:pPr>
    </w:lvl>
  </w:abstractNum>
  <w:num w:numId="1">
    <w:abstractNumId w:val="24"/>
  </w:num>
  <w:num w:numId="2">
    <w:abstractNumId w:val="9"/>
  </w:num>
  <w:num w:numId="3">
    <w:abstractNumId w:val="23"/>
  </w:num>
  <w:num w:numId="4">
    <w:abstractNumId w:val="10"/>
  </w:num>
  <w:num w:numId="5">
    <w:abstractNumId w:val="2"/>
  </w:num>
  <w:num w:numId="6">
    <w:abstractNumId w:val="12"/>
  </w:num>
  <w:num w:numId="7">
    <w:abstractNumId w:val="29"/>
  </w:num>
  <w:num w:numId="8">
    <w:abstractNumId w:val="7"/>
  </w:num>
  <w:num w:numId="9">
    <w:abstractNumId w:val="17"/>
  </w:num>
  <w:num w:numId="10">
    <w:abstractNumId w:val="28"/>
  </w:num>
  <w:num w:numId="11">
    <w:abstractNumId w:val="3"/>
  </w:num>
  <w:num w:numId="12">
    <w:abstractNumId w:val="1"/>
  </w:num>
  <w:num w:numId="13">
    <w:abstractNumId w:val="0"/>
  </w:num>
  <w:num w:numId="14">
    <w:abstractNumId w:val="14"/>
  </w:num>
  <w:num w:numId="15">
    <w:abstractNumId w:val="25"/>
  </w:num>
  <w:num w:numId="16">
    <w:abstractNumId w:val="11"/>
  </w:num>
  <w:num w:numId="17">
    <w:abstractNumId w:val="21"/>
  </w:num>
  <w:num w:numId="18">
    <w:abstractNumId w:val="16"/>
  </w:num>
  <w:num w:numId="19">
    <w:abstractNumId w:val="4"/>
  </w:num>
  <w:num w:numId="20">
    <w:abstractNumId w:val="27"/>
  </w:num>
  <w:num w:numId="21">
    <w:abstractNumId w:val="5"/>
  </w:num>
  <w:num w:numId="22">
    <w:abstractNumId w:val="8"/>
  </w:num>
  <w:num w:numId="23">
    <w:abstractNumId w:val="26"/>
  </w:num>
  <w:num w:numId="24">
    <w:abstractNumId w:val="15"/>
  </w:num>
  <w:num w:numId="25">
    <w:abstractNumId w:val="22"/>
  </w:num>
  <w:num w:numId="26">
    <w:abstractNumId w:val="20"/>
  </w:num>
  <w:num w:numId="27">
    <w:abstractNumId w:val="19"/>
  </w:num>
  <w:num w:numId="28">
    <w:abstractNumId w:val="13"/>
  </w:num>
  <w:num w:numId="29">
    <w:abstractNumId w:val="18"/>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567"/>
  <w:evenAndOddHeaders/>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7CCE"/>
    <w:rsid w:val="00016265"/>
    <w:rsid w:val="000204D9"/>
    <w:rsid w:val="00023A16"/>
    <w:rsid w:val="00033A69"/>
    <w:rsid w:val="000424A0"/>
    <w:rsid w:val="0004414B"/>
    <w:rsid w:val="000474FD"/>
    <w:rsid w:val="00052F05"/>
    <w:rsid w:val="00061133"/>
    <w:rsid w:val="000714B6"/>
    <w:rsid w:val="00082488"/>
    <w:rsid w:val="00086CA1"/>
    <w:rsid w:val="000873EB"/>
    <w:rsid w:val="00090404"/>
    <w:rsid w:val="000A1C00"/>
    <w:rsid w:val="000A3F29"/>
    <w:rsid w:val="000A5818"/>
    <w:rsid w:val="000D1973"/>
    <w:rsid w:val="000D326F"/>
    <w:rsid w:val="000E7259"/>
    <w:rsid w:val="000F1C4E"/>
    <w:rsid w:val="0010024F"/>
    <w:rsid w:val="00102107"/>
    <w:rsid w:val="00102557"/>
    <w:rsid w:val="00115050"/>
    <w:rsid w:val="0012568A"/>
    <w:rsid w:val="00127018"/>
    <w:rsid w:val="00132955"/>
    <w:rsid w:val="001357F7"/>
    <w:rsid w:val="0013785D"/>
    <w:rsid w:val="00151886"/>
    <w:rsid w:val="00156651"/>
    <w:rsid w:val="00157494"/>
    <w:rsid w:val="00160128"/>
    <w:rsid w:val="001619DD"/>
    <w:rsid w:val="00162023"/>
    <w:rsid w:val="00172DCA"/>
    <w:rsid w:val="0017604B"/>
    <w:rsid w:val="0018387D"/>
    <w:rsid w:val="00184AD0"/>
    <w:rsid w:val="00185E66"/>
    <w:rsid w:val="00187FAA"/>
    <w:rsid w:val="00194384"/>
    <w:rsid w:val="001A51E8"/>
    <w:rsid w:val="001B5DB7"/>
    <w:rsid w:val="001B6C58"/>
    <w:rsid w:val="001B72D2"/>
    <w:rsid w:val="001C40EF"/>
    <w:rsid w:val="001D2148"/>
    <w:rsid w:val="001D3FBF"/>
    <w:rsid w:val="001D6A2F"/>
    <w:rsid w:val="002134A9"/>
    <w:rsid w:val="00222A58"/>
    <w:rsid w:val="0022375D"/>
    <w:rsid w:val="0023064E"/>
    <w:rsid w:val="00230F21"/>
    <w:rsid w:val="002437FB"/>
    <w:rsid w:val="00253C48"/>
    <w:rsid w:val="00254009"/>
    <w:rsid w:val="00262BCE"/>
    <w:rsid w:val="0026561A"/>
    <w:rsid w:val="00266879"/>
    <w:rsid w:val="00270761"/>
    <w:rsid w:val="00270C5A"/>
    <w:rsid w:val="0027185E"/>
    <w:rsid w:val="00274D99"/>
    <w:rsid w:val="002752B6"/>
    <w:rsid w:val="00281CBA"/>
    <w:rsid w:val="00284E9A"/>
    <w:rsid w:val="00287683"/>
    <w:rsid w:val="00287CCE"/>
    <w:rsid w:val="00292D13"/>
    <w:rsid w:val="002930E7"/>
    <w:rsid w:val="002A6C00"/>
    <w:rsid w:val="002B0AD8"/>
    <w:rsid w:val="002B2588"/>
    <w:rsid w:val="002B3E34"/>
    <w:rsid w:val="002B5734"/>
    <w:rsid w:val="002C3821"/>
    <w:rsid w:val="002C4431"/>
    <w:rsid w:val="002C4D28"/>
    <w:rsid w:val="002C64E6"/>
    <w:rsid w:val="002D6ACE"/>
    <w:rsid w:val="002F4FB2"/>
    <w:rsid w:val="00300E0C"/>
    <w:rsid w:val="00303981"/>
    <w:rsid w:val="00310805"/>
    <w:rsid w:val="00316730"/>
    <w:rsid w:val="0031683B"/>
    <w:rsid w:val="003321FA"/>
    <w:rsid w:val="00333F05"/>
    <w:rsid w:val="00336718"/>
    <w:rsid w:val="003367C1"/>
    <w:rsid w:val="00343E0D"/>
    <w:rsid w:val="0034507D"/>
    <w:rsid w:val="00351263"/>
    <w:rsid w:val="00351994"/>
    <w:rsid w:val="0035321D"/>
    <w:rsid w:val="00356D19"/>
    <w:rsid w:val="00372023"/>
    <w:rsid w:val="00376161"/>
    <w:rsid w:val="00377228"/>
    <w:rsid w:val="00380F83"/>
    <w:rsid w:val="00387003"/>
    <w:rsid w:val="00391545"/>
    <w:rsid w:val="00391D10"/>
    <w:rsid w:val="00393EF7"/>
    <w:rsid w:val="003A00BC"/>
    <w:rsid w:val="003A0F95"/>
    <w:rsid w:val="003C4014"/>
    <w:rsid w:val="003C76AF"/>
    <w:rsid w:val="003D737F"/>
    <w:rsid w:val="003E2BAD"/>
    <w:rsid w:val="003E5A14"/>
    <w:rsid w:val="003F006E"/>
    <w:rsid w:val="003F622A"/>
    <w:rsid w:val="003F79A5"/>
    <w:rsid w:val="004014A5"/>
    <w:rsid w:val="00407890"/>
    <w:rsid w:val="00407D53"/>
    <w:rsid w:val="004118F4"/>
    <w:rsid w:val="004226D8"/>
    <w:rsid w:val="00425AD5"/>
    <w:rsid w:val="00426050"/>
    <w:rsid w:val="004263CC"/>
    <w:rsid w:val="00427A13"/>
    <w:rsid w:val="004423E3"/>
    <w:rsid w:val="00444662"/>
    <w:rsid w:val="00444849"/>
    <w:rsid w:val="004544D6"/>
    <w:rsid w:val="004567E0"/>
    <w:rsid w:val="00464637"/>
    <w:rsid w:val="004665FA"/>
    <w:rsid w:val="004757B9"/>
    <w:rsid w:val="004832A8"/>
    <w:rsid w:val="00484E2C"/>
    <w:rsid w:val="004860A1"/>
    <w:rsid w:val="004A49BF"/>
    <w:rsid w:val="004B616A"/>
    <w:rsid w:val="004C0878"/>
    <w:rsid w:val="004C7D68"/>
    <w:rsid w:val="004D7FD0"/>
    <w:rsid w:val="004E2ED9"/>
    <w:rsid w:val="004E4883"/>
    <w:rsid w:val="004E7AEE"/>
    <w:rsid w:val="004F2826"/>
    <w:rsid w:val="004F3557"/>
    <w:rsid w:val="004F53D0"/>
    <w:rsid w:val="00500265"/>
    <w:rsid w:val="00502247"/>
    <w:rsid w:val="00503301"/>
    <w:rsid w:val="005367DA"/>
    <w:rsid w:val="00543EB9"/>
    <w:rsid w:val="00551BEB"/>
    <w:rsid w:val="00552021"/>
    <w:rsid w:val="0055685C"/>
    <w:rsid w:val="0056183A"/>
    <w:rsid w:val="00562D3A"/>
    <w:rsid w:val="00563E1B"/>
    <w:rsid w:val="00570A51"/>
    <w:rsid w:val="00573D6A"/>
    <w:rsid w:val="00575FAD"/>
    <w:rsid w:val="0058480C"/>
    <w:rsid w:val="0058484E"/>
    <w:rsid w:val="00587A7C"/>
    <w:rsid w:val="00592588"/>
    <w:rsid w:val="00592B0E"/>
    <w:rsid w:val="005943A8"/>
    <w:rsid w:val="005957A9"/>
    <w:rsid w:val="0059694D"/>
    <w:rsid w:val="005A3756"/>
    <w:rsid w:val="005B0217"/>
    <w:rsid w:val="005B0795"/>
    <w:rsid w:val="005B495E"/>
    <w:rsid w:val="005B669C"/>
    <w:rsid w:val="005C15FC"/>
    <w:rsid w:val="005C3971"/>
    <w:rsid w:val="005E1639"/>
    <w:rsid w:val="005F191C"/>
    <w:rsid w:val="00601201"/>
    <w:rsid w:val="00603295"/>
    <w:rsid w:val="00605F2F"/>
    <w:rsid w:val="006132D8"/>
    <w:rsid w:val="00613423"/>
    <w:rsid w:val="0061407B"/>
    <w:rsid w:val="00621EE0"/>
    <w:rsid w:val="00623091"/>
    <w:rsid w:val="0062559E"/>
    <w:rsid w:val="0062781B"/>
    <w:rsid w:val="00631AFC"/>
    <w:rsid w:val="00631DF8"/>
    <w:rsid w:val="006471A4"/>
    <w:rsid w:val="00653B46"/>
    <w:rsid w:val="00663ACE"/>
    <w:rsid w:val="00670C64"/>
    <w:rsid w:val="0067205E"/>
    <w:rsid w:val="00680B44"/>
    <w:rsid w:val="00684D1B"/>
    <w:rsid w:val="0068718D"/>
    <w:rsid w:val="006917CB"/>
    <w:rsid w:val="006B2FA4"/>
    <w:rsid w:val="006B3987"/>
    <w:rsid w:val="006B53E8"/>
    <w:rsid w:val="006C2723"/>
    <w:rsid w:val="006C4E9C"/>
    <w:rsid w:val="006D6A42"/>
    <w:rsid w:val="006E654F"/>
    <w:rsid w:val="006E7A17"/>
    <w:rsid w:val="006F116C"/>
    <w:rsid w:val="006F2F6B"/>
    <w:rsid w:val="006F323C"/>
    <w:rsid w:val="006F5659"/>
    <w:rsid w:val="006F71F2"/>
    <w:rsid w:val="006F76A5"/>
    <w:rsid w:val="007366CA"/>
    <w:rsid w:val="007423E3"/>
    <w:rsid w:val="007439BC"/>
    <w:rsid w:val="00761D5C"/>
    <w:rsid w:val="00770A99"/>
    <w:rsid w:val="00772208"/>
    <w:rsid w:val="007759A4"/>
    <w:rsid w:val="007B1283"/>
    <w:rsid w:val="007C3E19"/>
    <w:rsid w:val="007D2B47"/>
    <w:rsid w:val="007D6311"/>
    <w:rsid w:val="007D70E8"/>
    <w:rsid w:val="007E0AB9"/>
    <w:rsid w:val="007F050B"/>
    <w:rsid w:val="007F1FA8"/>
    <w:rsid w:val="007F2082"/>
    <w:rsid w:val="007F2BE2"/>
    <w:rsid w:val="007F56A4"/>
    <w:rsid w:val="00806A1E"/>
    <w:rsid w:val="00807E4A"/>
    <w:rsid w:val="0081192F"/>
    <w:rsid w:val="008158DB"/>
    <w:rsid w:val="00826307"/>
    <w:rsid w:val="00826929"/>
    <w:rsid w:val="00842E54"/>
    <w:rsid w:val="00845671"/>
    <w:rsid w:val="00846879"/>
    <w:rsid w:val="00846947"/>
    <w:rsid w:val="00850302"/>
    <w:rsid w:val="00854803"/>
    <w:rsid w:val="00862CB3"/>
    <w:rsid w:val="00872383"/>
    <w:rsid w:val="00880EDD"/>
    <w:rsid w:val="00885E8E"/>
    <w:rsid w:val="008868FA"/>
    <w:rsid w:val="0089311E"/>
    <w:rsid w:val="00896D35"/>
    <w:rsid w:val="008B0AEC"/>
    <w:rsid w:val="008B4983"/>
    <w:rsid w:val="008B7A7B"/>
    <w:rsid w:val="008C06EC"/>
    <w:rsid w:val="008C1DEF"/>
    <w:rsid w:val="008C3A11"/>
    <w:rsid w:val="008E020D"/>
    <w:rsid w:val="008E3508"/>
    <w:rsid w:val="008F655E"/>
    <w:rsid w:val="00900DC5"/>
    <w:rsid w:val="00902F2C"/>
    <w:rsid w:val="009043F8"/>
    <w:rsid w:val="00910BF7"/>
    <w:rsid w:val="00911593"/>
    <w:rsid w:val="0091222A"/>
    <w:rsid w:val="00914D3E"/>
    <w:rsid w:val="009204D9"/>
    <w:rsid w:val="00931E4F"/>
    <w:rsid w:val="00934307"/>
    <w:rsid w:val="009415DB"/>
    <w:rsid w:val="009419A6"/>
    <w:rsid w:val="009441ED"/>
    <w:rsid w:val="00951382"/>
    <w:rsid w:val="0095244C"/>
    <w:rsid w:val="009625C2"/>
    <w:rsid w:val="00962E96"/>
    <w:rsid w:val="00970EA2"/>
    <w:rsid w:val="00977B4A"/>
    <w:rsid w:val="009A1DB0"/>
    <w:rsid w:val="009A34A9"/>
    <w:rsid w:val="009B2A44"/>
    <w:rsid w:val="009B3A89"/>
    <w:rsid w:val="009B4C21"/>
    <w:rsid w:val="009C28D1"/>
    <w:rsid w:val="009C7704"/>
    <w:rsid w:val="009C7CA2"/>
    <w:rsid w:val="009D1E33"/>
    <w:rsid w:val="009E176B"/>
    <w:rsid w:val="009E3800"/>
    <w:rsid w:val="009E3CA9"/>
    <w:rsid w:val="009F0AED"/>
    <w:rsid w:val="009F1566"/>
    <w:rsid w:val="00A00DA3"/>
    <w:rsid w:val="00A04535"/>
    <w:rsid w:val="00A05468"/>
    <w:rsid w:val="00A207D4"/>
    <w:rsid w:val="00A22AE7"/>
    <w:rsid w:val="00A22DF9"/>
    <w:rsid w:val="00A30DDE"/>
    <w:rsid w:val="00A33BA9"/>
    <w:rsid w:val="00A40AD9"/>
    <w:rsid w:val="00A41E4B"/>
    <w:rsid w:val="00A42491"/>
    <w:rsid w:val="00A47206"/>
    <w:rsid w:val="00A533BF"/>
    <w:rsid w:val="00A55B3B"/>
    <w:rsid w:val="00A57702"/>
    <w:rsid w:val="00A61841"/>
    <w:rsid w:val="00A63947"/>
    <w:rsid w:val="00A64AF2"/>
    <w:rsid w:val="00A71099"/>
    <w:rsid w:val="00A734D5"/>
    <w:rsid w:val="00A739A3"/>
    <w:rsid w:val="00A86BDC"/>
    <w:rsid w:val="00A90E83"/>
    <w:rsid w:val="00A950F0"/>
    <w:rsid w:val="00AA0618"/>
    <w:rsid w:val="00AA2BA6"/>
    <w:rsid w:val="00AA3FAE"/>
    <w:rsid w:val="00AA6F1F"/>
    <w:rsid w:val="00AB1546"/>
    <w:rsid w:val="00AB1BE0"/>
    <w:rsid w:val="00AB784D"/>
    <w:rsid w:val="00AC014B"/>
    <w:rsid w:val="00AC146A"/>
    <w:rsid w:val="00AC15B1"/>
    <w:rsid w:val="00AE049E"/>
    <w:rsid w:val="00AE57A3"/>
    <w:rsid w:val="00AE7643"/>
    <w:rsid w:val="00AF3F46"/>
    <w:rsid w:val="00AF486A"/>
    <w:rsid w:val="00B0243B"/>
    <w:rsid w:val="00B07927"/>
    <w:rsid w:val="00B157FA"/>
    <w:rsid w:val="00B25E34"/>
    <w:rsid w:val="00B304A2"/>
    <w:rsid w:val="00B41038"/>
    <w:rsid w:val="00B42B32"/>
    <w:rsid w:val="00B61D16"/>
    <w:rsid w:val="00B7072E"/>
    <w:rsid w:val="00B81155"/>
    <w:rsid w:val="00B84F6C"/>
    <w:rsid w:val="00B90E51"/>
    <w:rsid w:val="00B91B63"/>
    <w:rsid w:val="00B92B53"/>
    <w:rsid w:val="00B96C54"/>
    <w:rsid w:val="00BA3439"/>
    <w:rsid w:val="00BA5B7A"/>
    <w:rsid w:val="00BA7AE2"/>
    <w:rsid w:val="00BC1604"/>
    <w:rsid w:val="00BC3A09"/>
    <w:rsid w:val="00BC40C5"/>
    <w:rsid w:val="00BD446C"/>
    <w:rsid w:val="00BD5656"/>
    <w:rsid w:val="00BE05EF"/>
    <w:rsid w:val="00BE0B32"/>
    <w:rsid w:val="00BE6972"/>
    <w:rsid w:val="00BF1E1F"/>
    <w:rsid w:val="00BF4FE0"/>
    <w:rsid w:val="00BF6312"/>
    <w:rsid w:val="00C159B0"/>
    <w:rsid w:val="00C15DA6"/>
    <w:rsid w:val="00C22A6B"/>
    <w:rsid w:val="00C26506"/>
    <w:rsid w:val="00C27C76"/>
    <w:rsid w:val="00C30BBA"/>
    <w:rsid w:val="00C35EEB"/>
    <w:rsid w:val="00C4034A"/>
    <w:rsid w:val="00C4661F"/>
    <w:rsid w:val="00C568DA"/>
    <w:rsid w:val="00C76545"/>
    <w:rsid w:val="00C856B1"/>
    <w:rsid w:val="00C97F49"/>
    <w:rsid w:val="00CA2920"/>
    <w:rsid w:val="00CA425B"/>
    <w:rsid w:val="00CA472E"/>
    <w:rsid w:val="00CA52BF"/>
    <w:rsid w:val="00CB24AD"/>
    <w:rsid w:val="00CB38CF"/>
    <w:rsid w:val="00CB660C"/>
    <w:rsid w:val="00CC75F5"/>
    <w:rsid w:val="00CD3FD3"/>
    <w:rsid w:val="00CE564E"/>
    <w:rsid w:val="00CF4181"/>
    <w:rsid w:val="00CF584C"/>
    <w:rsid w:val="00CF7845"/>
    <w:rsid w:val="00CF7AB3"/>
    <w:rsid w:val="00D00D4C"/>
    <w:rsid w:val="00D03D21"/>
    <w:rsid w:val="00D05261"/>
    <w:rsid w:val="00D06091"/>
    <w:rsid w:val="00D164AB"/>
    <w:rsid w:val="00D179F9"/>
    <w:rsid w:val="00D20B13"/>
    <w:rsid w:val="00D36FC9"/>
    <w:rsid w:val="00D477BF"/>
    <w:rsid w:val="00D508EA"/>
    <w:rsid w:val="00D513CD"/>
    <w:rsid w:val="00D51B2A"/>
    <w:rsid w:val="00D529CD"/>
    <w:rsid w:val="00D61B7E"/>
    <w:rsid w:val="00D6701F"/>
    <w:rsid w:val="00D77556"/>
    <w:rsid w:val="00D819DD"/>
    <w:rsid w:val="00D84FF4"/>
    <w:rsid w:val="00D85676"/>
    <w:rsid w:val="00DB3A06"/>
    <w:rsid w:val="00DB5BF0"/>
    <w:rsid w:val="00DB6FF4"/>
    <w:rsid w:val="00DD39F8"/>
    <w:rsid w:val="00DD61B3"/>
    <w:rsid w:val="00DE7418"/>
    <w:rsid w:val="00DE7948"/>
    <w:rsid w:val="00DF019D"/>
    <w:rsid w:val="00E0437E"/>
    <w:rsid w:val="00E14379"/>
    <w:rsid w:val="00E1761C"/>
    <w:rsid w:val="00E2326D"/>
    <w:rsid w:val="00E251BF"/>
    <w:rsid w:val="00E25EDF"/>
    <w:rsid w:val="00E36A73"/>
    <w:rsid w:val="00E401C9"/>
    <w:rsid w:val="00E43596"/>
    <w:rsid w:val="00E53284"/>
    <w:rsid w:val="00E55B21"/>
    <w:rsid w:val="00E563D9"/>
    <w:rsid w:val="00E61644"/>
    <w:rsid w:val="00E61F69"/>
    <w:rsid w:val="00E63866"/>
    <w:rsid w:val="00E643F3"/>
    <w:rsid w:val="00E715A4"/>
    <w:rsid w:val="00E71752"/>
    <w:rsid w:val="00E71C20"/>
    <w:rsid w:val="00E77D08"/>
    <w:rsid w:val="00E86524"/>
    <w:rsid w:val="00E97AB6"/>
    <w:rsid w:val="00EA3EA9"/>
    <w:rsid w:val="00EA47FF"/>
    <w:rsid w:val="00EA59FE"/>
    <w:rsid w:val="00EB0EE1"/>
    <w:rsid w:val="00EB1BED"/>
    <w:rsid w:val="00EB6074"/>
    <w:rsid w:val="00EC0A6A"/>
    <w:rsid w:val="00EE3AA2"/>
    <w:rsid w:val="00EE47EF"/>
    <w:rsid w:val="00EE7A29"/>
    <w:rsid w:val="00F01EDE"/>
    <w:rsid w:val="00F07C72"/>
    <w:rsid w:val="00F13C92"/>
    <w:rsid w:val="00F15083"/>
    <w:rsid w:val="00F212E5"/>
    <w:rsid w:val="00F21AFD"/>
    <w:rsid w:val="00F22038"/>
    <w:rsid w:val="00F24A38"/>
    <w:rsid w:val="00F25E71"/>
    <w:rsid w:val="00F2704D"/>
    <w:rsid w:val="00F40F9C"/>
    <w:rsid w:val="00F43F0F"/>
    <w:rsid w:val="00F45309"/>
    <w:rsid w:val="00F51F9E"/>
    <w:rsid w:val="00F5415F"/>
    <w:rsid w:val="00F606EA"/>
    <w:rsid w:val="00F63C75"/>
    <w:rsid w:val="00F679D4"/>
    <w:rsid w:val="00F7380D"/>
    <w:rsid w:val="00F74EAA"/>
    <w:rsid w:val="00F75593"/>
    <w:rsid w:val="00F86003"/>
    <w:rsid w:val="00F90E44"/>
    <w:rsid w:val="00F91257"/>
    <w:rsid w:val="00F91E29"/>
    <w:rsid w:val="00F955E2"/>
    <w:rsid w:val="00FB4B5D"/>
    <w:rsid w:val="00FC1122"/>
    <w:rsid w:val="00FC2179"/>
    <w:rsid w:val="00FD7A69"/>
    <w:rsid w:val="00FE1421"/>
    <w:rsid w:val="00FE2A4A"/>
    <w:rsid w:val="00FE3DA9"/>
    <w:rsid w:val="00FE4EA5"/>
    <w:rsid w:val="00FE5D4F"/>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1A6CF135"/>
  <w15:docId w15:val="{4AFF596B-3C78-4F9D-A4BB-7FEBA6208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925AD"/>
    <w:pPr>
      <w:suppressAutoHyphens/>
      <w:spacing w:line="240" w:lineRule="atLeast"/>
    </w:pPr>
    <w:rPr>
      <w:lang w:eastAsia="en-US"/>
    </w:rPr>
  </w:style>
  <w:style w:type="paragraph" w:styleId="Heading1">
    <w:name w:val="heading 1"/>
    <w:link w:val="Heading1Char"/>
    <w:uiPriority w:val="99"/>
    <w:qFormat/>
    <w:rsid w:val="00E925AD"/>
    <w:pPr>
      <w:widowControl w:val="0"/>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ingleTxtGChar">
    <w:name w:val="_ Single Txt_G Char"/>
    <w:link w:val="SingleTxtG"/>
    <w:qFormat/>
    <w:rsid w:val="00C21138"/>
    <w:rPr>
      <w:lang w:val="en-GB" w:eastAsia="en-US" w:bidi="ar-SA"/>
    </w:rPr>
  </w:style>
  <w:style w:type="character" w:customStyle="1" w:styleId="Heading1Char">
    <w:name w:val="Heading 1 Char"/>
    <w:basedOn w:val="SingleTxtGChar"/>
    <w:link w:val="Heading1"/>
    <w:uiPriority w:val="99"/>
    <w:qFormat/>
    <w:rsid w:val="00A55E64"/>
    <w:rPr>
      <w:lang w:val="en-GB" w:eastAsia="en-US" w:bidi="ar-SA"/>
    </w:rPr>
  </w:style>
  <w:style w:type="character" w:styleId="PageNumber">
    <w:name w:val="page number"/>
    <w:qFormat/>
    <w:rsid w:val="00E925AD"/>
    <w:rPr>
      <w:rFonts w:ascii="Times New Roman" w:hAnsi="Times New Roman"/>
      <w:b/>
      <w:sz w:val="18"/>
    </w:rPr>
  </w:style>
  <w:style w:type="character" w:styleId="EndnoteReference">
    <w:name w:val="endnote reference"/>
    <w:qFormat/>
    <w:rsid w:val="00E925AD"/>
    <w:rPr>
      <w:rFonts w:ascii="Times New Roman" w:hAnsi="Times New Roman"/>
      <w:sz w:val="18"/>
      <w:vertAlign w:val="superscript"/>
    </w:rPr>
  </w:style>
  <w:style w:type="character" w:styleId="FootnoteReference">
    <w:name w:val="footnote reference"/>
    <w:aliases w:val="4_G"/>
    <w:qFormat/>
    <w:rsid w:val="00E925AD"/>
    <w:rPr>
      <w:rFonts w:ascii="Times New Roman" w:hAnsi="Times New Roman"/>
      <w:sz w:val="18"/>
      <w:vertAlign w:val="superscript"/>
    </w:rPr>
  </w:style>
  <w:style w:type="character" w:customStyle="1" w:styleId="FootnoteTextChar">
    <w:name w:val="Footnote Text Char"/>
    <w:aliases w:val="5_G Char,Fußnote Char,Footnote Text Char Char Char,single space Char,Footnote Text Char2 Char,Footnote Text Char1 Char Char,Footnote Text Char1 Char Char Char Char Char,Footnote Text Char Char Char Char Char Char Char"/>
    <w:link w:val="FootnoteText"/>
    <w:qFormat/>
    <w:rsid w:val="00C92535"/>
    <w:rPr>
      <w:sz w:val="18"/>
      <w:lang w:val="en-GB" w:eastAsia="en-US" w:bidi="ar-SA"/>
    </w:rPr>
  </w:style>
  <w:style w:type="character" w:customStyle="1" w:styleId="InternetLink">
    <w:name w:val="Internet Link"/>
    <w:semiHidden/>
    <w:rsid w:val="00E925AD"/>
    <w:rPr>
      <w:color w:val="00000A"/>
      <w:u w:val="none"/>
    </w:rPr>
  </w:style>
  <w:style w:type="character" w:customStyle="1" w:styleId="FooterChar">
    <w:name w:val="Footer Char"/>
    <w:link w:val="Footer"/>
    <w:semiHidden/>
    <w:qFormat/>
    <w:locked/>
    <w:rsid w:val="001C41B3"/>
    <w:rPr>
      <w:sz w:val="16"/>
      <w:lang w:val="en-GB" w:eastAsia="en-US" w:bidi="ar-SA"/>
    </w:rPr>
  </w:style>
  <w:style w:type="character" w:customStyle="1" w:styleId="HeaderChar">
    <w:name w:val="Header Char"/>
    <w:link w:val="Header"/>
    <w:semiHidden/>
    <w:qFormat/>
    <w:locked/>
    <w:rsid w:val="001C41B3"/>
    <w:rPr>
      <w:b/>
      <w:sz w:val="18"/>
      <w:lang w:val="en-GB" w:eastAsia="en-US" w:bidi="ar-SA"/>
    </w:rPr>
  </w:style>
  <w:style w:type="character" w:styleId="FollowedHyperlink">
    <w:name w:val="FollowedHyperlink"/>
    <w:semiHidden/>
    <w:qFormat/>
    <w:rsid w:val="00E925AD"/>
    <w:rPr>
      <w:color w:val="00000A"/>
      <w:u w:val="none"/>
    </w:rPr>
  </w:style>
  <w:style w:type="character" w:customStyle="1" w:styleId="BalloonTextChar">
    <w:name w:val="Balloon Text Char"/>
    <w:link w:val="BalloonText"/>
    <w:semiHidden/>
    <w:qFormat/>
    <w:locked/>
    <w:rsid w:val="001C41B3"/>
    <w:rPr>
      <w:rFonts w:ascii="Tahoma" w:hAnsi="Tahoma" w:cs="Tahoma"/>
      <w:sz w:val="16"/>
      <w:szCs w:val="16"/>
      <w:lang w:val="en-US" w:eastAsia="en-US" w:bidi="ar-SA"/>
    </w:rPr>
  </w:style>
  <w:style w:type="character" w:customStyle="1" w:styleId="CharChar">
    <w:name w:val="Char Char"/>
    <w:semiHidden/>
    <w:qFormat/>
    <w:rsid w:val="00266228"/>
    <w:rPr>
      <w:sz w:val="24"/>
      <w:lang w:val="en-GB" w:eastAsia="en-US" w:bidi="ar-SA"/>
    </w:rPr>
  </w:style>
  <w:style w:type="character" w:styleId="CommentReference">
    <w:name w:val="annotation reference"/>
    <w:qFormat/>
    <w:rsid w:val="0007490A"/>
    <w:rPr>
      <w:sz w:val="16"/>
      <w:szCs w:val="16"/>
    </w:rPr>
  </w:style>
  <w:style w:type="character" w:customStyle="1" w:styleId="CommentTextChar">
    <w:name w:val="Comment Text Char"/>
    <w:link w:val="CommentText"/>
    <w:qFormat/>
    <w:rsid w:val="0007490A"/>
    <w:rPr>
      <w:lang w:eastAsia="en-US"/>
    </w:rPr>
  </w:style>
  <w:style w:type="character" w:customStyle="1" w:styleId="CommentSubjectChar">
    <w:name w:val="Comment Subject Char"/>
    <w:link w:val="CommentSubject"/>
    <w:qFormat/>
    <w:rsid w:val="0007490A"/>
    <w:rPr>
      <w:b/>
      <w:bCs/>
      <w:lang w:eastAsia="en-US"/>
    </w:rPr>
  </w:style>
  <w:style w:type="character" w:customStyle="1" w:styleId="HChGChar">
    <w:name w:val="_ H _Ch_G Char"/>
    <w:link w:val="HChG"/>
    <w:qFormat/>
    <w:rsid w:val="00942793"/>
    <w:rPr>
      <w:b/>
      <w:sz w:val="28"/>
      <w:lang w:eastAsia="en-US"/>
    </w:rPr>
  </w:style>
  <w:style w:type="character" w:customStyle="1" w:styleId="CharAttribute3">
    <w:name w:val="CharAttribute3"/>
    <w:qFormat/>
    <w:rsid w:val="005934C5"/>
    <w:rPr>
      <w:rFonts w:ascii="Times New Roman" w:eastAsia="Times New Roman" w:hAnsi="Times New Roman"/>
    </w:rPr>
  </w:style>
  <w:style w:type="character" w:customStyle="1" w:styleId="H23GChar">
    <w:name w:val="_ H_2/3_G Char"/>
    <w:link w:val="H23G"/>
    <w:qFormat/>
    <w:rsid w:val="009031B0"/>
    <w:rPr>
      <w:b/>
      <w:lang w:eastAsia="en-US"/>
    </w:rPr>
  </w:style>
  <w:style w:type="character" w:customStyle="1" w:styleId="ListLabel1">
    <w:name w:val="ListLabel 1"/>
    <w:qFormat/>
    <w:rPr>
      <w:rFonts w:cs="Times New Roman"/>
      <w:b w:val="0"/>
      <w:i w:val="0"/>
      <w:sz w:val="20"/>
    </w:rPr>
  </w:style>
  <w:style w:type="character" w:customStyle="1" w:styleId="ListLabel2">
    <w:name w:val="ListLabel 2"/>
    <w:qFormat/>
    <w:rPr>
      <w:rFonts w:cs="Courier New"/>
    </w:rPr>
  </w:style>
  <w:style w:type="character" w:customStyle="1" w:styleId="ListLabel3">
    <w:name w:val="ListLabel 3"/>
    <w:qFormat/>
    <w:rPr>
      <w:rFonts w:cs="Times New Roman"/>
    </w:rPr>
  </w:style>
  <w:style w:type="character" w:customStyle="1" w:styleId="ListLabel4">
    <w:name w:val="ListLabel 4"/>
    <w:qFormat/>
    <w:rPr>
      <w:b w:val="0"/>
      <w:i w:val="0"/>
      <w:sz w:val="20"/>
    </w:rPr>
  </w:style>
  <w:style w:type="character" w:customStyle="1" w:styleId="ListLabel5">
    <w:name w:val="ListLabel 5"/>
    <w:qFormat/>
    <w:rPr>
      <w:rFonts w:eastAsia="Wingdings"/>
      <w:b w:val="0"/>
      <w:color w:val="000000"/>
    </w:rPr>
  </w:style>
  <w:style w:type="character" w:customStyle="1" w:styleId="ListLabel6">
    <w:name w:val="ListLabel 6"/>
    <w:qFormat/>
    <w:rPr>
      <w:rFonts w:eastAsia="Times New Roman"/>
      <w:b w:val="0"/>
      <w:i/>
      <w:color w:val="000000"/>
    </w:rPr>
  </w:style>
  <w:style w:type="character" w:customStyle="1" w:styleId="ListLabel7">
    <w:name w:val="ListLabel 7"/>
    <w:qFormat/>
    <w:rPr>
      <w:rFonts w:cs="Times New Roman"/>
      <w:b/>
      <w:i w:val="0"/>
      <w:sz w:val="20"/>
      <w:szCs w:val="24"/>
    </w:rPr>
  </w:style>
  <w:style w:type="character" w:customStyle="1" w:styleId="ListLabel8">
    <w:name w:val="ListLabel 8"/>
    <w:qFormat/>
    <w:rPr>
      <w:b w:val="0"/>
      <w:i w:val="0"/>
      <w:sz w:val="20"/>
      <w:szCs w:val="24"/>
    </w:rPr>
  </w:style>
  <w:style w:type="character" w:customStyle="1" w:styleId="EndnoteCharacters">
    <w:name w:val="Endnote Characters"/>
    <w:qFormat/>
  </w:style>
  <w:style w:type="paragraph" w:customStyle="1" w:styleId="Heading">
    <w:name w:val="Heading"/>
    <w:basedOn w:val="Normal"/>
    <w:next w:val="TextBody"/>
    <w:qFormat/>
    <w:pPr>
      <w:keepNext/>
      <w:spacing w:before="240" w:after="120"/>
    </w:pPr>
    <w:rPr>
      <w:rFonts w:ascii="Nimbus Sans L" w:eastAsia="DejaVu Sans" w:hAnsi="Nimbus Sans L" w:cs="FreeSans"/>
      <w:sz w:val="28"/>
      <w:szCs w:val="28"/>
    </w:rPr>
  </w:style>
  <w:style w:type="paragraph" w:customStyle="1" w:styleId="TextBody">
    <w:name w:val="Text Body"/>
    <w:basedOn w:val="Normal"/>
    <w:pPr>
      <w:spacing w:after="140" w:line="288" w:lineRule="auto"/>
    </w:pPr>
  </w:style>
  <w:style w:type="paragraph" w:styleId="List">
    <w:name w:val="List"/>
    <w:basedOn w:val="TextBody"/>
    <w:rPr>
      <w:rFonts w:cs="FreeSans"/>
    </w:rPr>
  </w:style>
  <w:style w:type="paragraph" w:styleId="Caption">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paragraph" w:customStyle="1" w:styleId="SMG">
    <w:name w:val="__S_M_G"/>
    <w:basedOn w:val="Normal"/>
    <w:next w:val="Normal"/>
    <w:qFormat/>
    <w:rsid w:val="00E925AD"/>
    <w:pPr>
      <w:keepNext/>
      <w:keepLines/>
      <w:spacing w:before="240" w:after="240" w:line="420" w:lineRule="exact"/>
      <w:ind w:left="1134" w:right="1134"/>
    </w:pPr>
    <w:rPr>
      <w:b/>
      <w:sz w:val="40"/>
    </w:rPr>
  </w:style>
  <w:style w:type="paragraph" w:customStyle="1" w:styleId="SLG">
    <w:name w:val="__S_L_G"/>
    <w:basedOn w:val="Normal"/>
    <w:next w:val="Normal"/>
    <w:qFormat/>
    <w:rsid w:val="00E925AD"/>
    <w:pPr>
      <w:keepNext/>
      <w:keepLines/>
      <w:spacing w:before="240" w:after="240" w:line="580" w:lineRule="exact"/>
      <w:ind w:left="1134" w:right="1134"/>
    </w:pPr>
    <w:rPr>
      <w:b/>
      <w:sz w:val="56"/>
    </w:rPr>
  </w:style>
  <w:style w:type="paragraph" w:customStyle="1" w:styleId="SSG">
    <w:name w:val="__S_S_G"/>
    <w:basedOn w:val="Normal"/>
    <w:next w:val="Normal"/>
    <w:qFormat/>
    <w:rsid w:val="00E925AD"/>
    <w:pPr>
      <w:keepNext/>
      <w:keepLines/>
      <w:spacing w:before="240" w:after="240" w:line="300" w:lineRule="exact"/>
      <w:ind w:left="1134" w:right="1134"/>
    </w:pPr>
    <w:rPr>
      <w:b/>
      <w:sz w:val="28"/>
    </w:rPr>
  </w:style>
  <w:style w:type="paragraph" w:styleId="FootnoteText">
    <w:name w:val="footnote text"/>
    <w:aliases w:val="5_G,Fußnote,Footnote Text Char Char,single space,Footnote Text Char2,Footnote Text Char1 Char,Footnote Text Char1 Char Char Char Char,Footnote Text Char Char Char Char Char Char,Footnote Text Char1 Char Char1 Char,footnote text"/>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qFormat/>
    <w:rsid w:val="00E925AD"/>
    <w:pPr>
      <w:keepNext/>
      <w:keepLines/>
      <w:spacing w:before="240" w:after="240" w:line="420" w:lineRule="exact"/>
      <w:ind w:left="1134" w:right="1134"/>
    </w:pPr>
    <w:rPr>
      <w:b/>
      <w:sz w:val="40"/>
    </w:rPr>
  </w:style>
  <w:style w:type="paragraph" w:customStyle="1" w:styleId="Bullet1G">
    <w:name w:val="_Bullet 1_G"/>
    <w:basedOn w:val="Normal"/>
    <w:qFormat/>
    <w:rsid w:val="009F1566"/>
    <w:pPr>
      <w:spacing w:after="120"/>
      <w:ind w:right="1134"/>
      <w:jc w:val="both"/>
    </w:pPr>
  </w:style>
  <w:style w:type="paragraph" w:styleId="EndnoteText">
    <w:name w:val="endnote text"/>
    <w:basedOn w:val="FootnoteText"/>
    <w:qFormat/>
    <w:rsid w:val="00E925AD"/>
  </w:style>
  <w:style w:type="paragraph" w:customStyle="1" w:styleId="Bullet2G">
    <w:name w:val="_Bullet 2_G"/>
    <w:basedOn w:val="Normal"/>
    <w:qFormat/>
    <w:rsid w:val="00E925AD"/>
    <w:p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paragraph" w:styleId="Footer">
    <w:name w:val="footer"/>
    <w:basedOn w:val="Normal"/>
    <w:link w:val="FooterChar"/>
    <w:rsid w:val="00E925AD"/>
    <w:pPr>
      <w:spacing w:line="240" w:lineRule="auto"/>
    </w:pPr>
    <w:rPr>
      <w:sz w:val="16"/>
    </w:rPr>
  </w:style>
  <w:style w:type="paragraph" w:styleId="Header">
    <w:name w:val="header"/>
    <w:basedOn w:val="Normal"/>
    <w:link w:val="HeaderChar"/>
    <w:rsid w:val="00E925AD"/>
    <w:pPr>
      <w:pBdr>
        <w:bottom w:val="single" w:sz="4" w:space="4" w:color="00000A"/>
      </w:pBdr>
      <w:spacing w:line="240" w:lineRule="auto"/>
    </w:pPr>
    <w:rPr>
      <w:b/>
      <w:sz w:val="18"/>
    </w:rPr>
  </w:style>
  <w:style w:type="paragraph" w:styleId="ListParagraph">
    <w:name w:val="List Paragraph"/>
    <w:basedOn w:val="Normal"/>
    <w:uiPriority w:val="34"/>
    <w:qFormat/>
    <w:rsid w:val="001C41B3"/>
    <w:pPr>
      <w:suppressAutoHyphens w:val="0"/>
      <w:spacing w:after="200" w:line="276" w:lineRule="auto"/>
      <w:ind w:left="720"/>
      <w:contextualSpacing/>
    </w:pPr>
    <w:rPr>
      <w:rFonts w:ascii="Calibri" w:hAnsi="Calibri"/>
      <w:sz w:val="22"/>
      <w:szCs w:val="22"/>
      <w:lang w:val="en-US"/>
    </w:rPr>
  </w:style>
  <w:style w:type="paragraph" w:styleId="BalloonText">
    <w:name w:val="Balloon Text"/>
    <w:basedOn w:val="Normal"/>
    <w:link w:val="BalloonTextChar"/>
    <w:semiHidden/>
    <w:qFormat/>
    <w:rsid w:val="001C41B3"/>
    <w:pPr>
      <w:suppressAutoHyphens w:val="0"/>
      <w:spacing w:line="240" w:lineRule="auto"/>
    </w:pPr>
    <w:rPr>
      <w:rFonts w:ascii="Tahoma" w:hAnsi="Tahoma" w:cs="Tahoma"/>
      <w:sz w:val="16"/>
      <w:szCs w:val="16"/>
      <w:lang w:val="en-US"/>
    </w:rPr>
  </w:style>
  <w:style w:type="paragraph" w:customStyle="1" w:styleId="Default">
    <w:name w:val="Default"/>
    <w:qFormat/>
    <w:rsid w:val="001C41B3"/>
    <w:rPr>
      <w:rFonts w:ascii="Arial" w:hAnsi="Arial" w:cs="Arial"/>
      <w:color w:val="000000"/>
      <w:sz w:val="24"/>
      <w:szCs w:val="24"/>
      <w:lang w:val="en-US" w:eastAsia="en-US"/>
    </w:rPr>
  </w:style>
  <w:style w:type="paragraph" w:customStyle="1" w:styleId="CM5">
    <w:name w:val="CM5"/>
    <w:basedOn w:val="Default"/>
    <w:next w:val="Default"/>
    <w:qFormat/>
    <w:rsid w:val="001C41B3"/>
    <w:rPr>
      <w:rFonts w:cs="Times New Roman"/>
      <w:color w:val="00000A"/>
    </w:rPr>
  </w:style>
  <w:style w:type="paragraph" w:customStyle="1" w:styleId="CM2">
    <w:name w:val="CM2"/>
    <w:basedOn w:val="Default"/>
    <w:next w:val="Default"/>
    <w:qFormat/>
    <w:rsid w:val="001C41B3"/>
    <w:pPr>
      <w:spacing w:line="248" w:lineRule="atLeast"/>
    </w:pPr>
    <w:rPr>
      <w:rFonts w:cs="Times New Roman"/>
      <w:color w:val="00000A"/>
    </w:rPr>
  </w:style>
  <w:style w:type="paragraph" w:customStyle="1" w:styleId="CM3">
    <w:name w:val="CM3"/>
    <w:basedOn w:val="Default"/>
    <w:next w:val="Default"/>
    <w:qFormat/>
    <w:rsid w:val="001C41B3"/>
    <w:pPr>
      <w:spacing w:line="251" w:lineRule="atLeast"/>
    </w:pPr>
    <w:rPr>
      <w:rFonts w:cs="Times New Roman"/>
      <w:color w:val="00000A"/>
    </w:rPr>
  </w:style>
  <w:style w:type="paragraph" w:styleId="CommentText">
    <w:name w:val="annotation text"/>
    <w:basedOn w:val="Normal"/>
    <w:link w:val="CommentTextChar"/>
    <w:qFormat/>
    <w:rsid w:val="0007490A"/>
  </w:style>
  <w:style w:type="paragraph" w:styleId="CommentSubject">
    <w:name w:val="annotation subject"/>
    <w:basedOn w:val="CommentText"/>
    <w:link w:val="CommentSubjectChar"/>
    <w:qFormat/>
    <w:rsid w:val="0007490A"/>
    <w:rPr>
      <w:b/>
      <w:bCs/>
    </w:rPr>
  </w:style>
  <w:style w:type="paragraph" w:customStyle="1" w:styleId="ParaAttribute0">
    <w:name w:val="ParaAttribute0"/>
    <w:qFormat/>
    <w:rsid w:val="005934C5"/>
    <w:pPr>
      <w:spacing w:after="120"/>
      <w:ind w:left="1100" w:right="1134"/>
      <w:jc w:val="both"/>
    </w:pPr>
    <w:rPr>
      <w:rFonts w:eastAsia="Batang"/>
    </w:rPr>
  </w:style>
  <w:style w:type="paragraph" w:customStyle="1" w:styleId="ParaAttribute1">
    <w:name w:val="ParaAttribute1"/>
    <w:qFormat/>
    <w:rsid w:val="005934C5"/>
    <w:pPr>
      <w:spacing w:after="120"/>
      <w:ind w:left="1134" w:right="1134"/>
      <w:jc w:val="both"/>
    </w:pPr>
    <w:rPr>
      <w:rFonts w:eastAsia="Batang"/>
    </w:rPr>
  </w:style>
  <w:style w:type="paragraph" w:customStyle="1" w:styleId="FrameContents">
    <w:name w:val="Frame Contents"/>
    <w:basedOn w:val="Normal"/>
    <w:qFormat/>
  </w:style>
  <w:style w:type="table" w:styleId="TableGrid">
    <w:name w:val="Table Grid"/>
    <w:basedOn w:val="TableNormal"/>
    <w:semiHidden/>
    <w:rsid w:val="00E925AD"/>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562D3A"/>
    <w:rPr>
      <w:color w:val="0000FF" w:themeColor="hyperlink"/>
      <w:u w:val="single"/>
    </w:rPr>
  </w:style>
  <w:style w:type="paragraph" w:styleId="NormalWeb">
    <w:name w:val="Normal (Web)"/>
    <w:basedOn w:val="Normal"/>
    <w:uiPriority w:val="99"/>
    <w:semiHidden/>
    <w:unhideWhenUsed/>
    <w:rsid w:val="00292D13"/>
    <w:pPr>
      <w:suppressAutoHyphens w:val="0"/>
      <w:spacing w:before="100" w:beforeAutospacing="1" w:after="100" w:afterAutospacing="1" w:line="240" w:lineRule="auto"/>
    </w:pPr>
    <w:rPr>
      <w:sz w:val="24"/>
      <w:szCs w:val="24"/>
      <w:lang w:eastAsia="en-GB"/>
    </w:rPr>
  </w:style>
  <w:style w:type="character" w:styleId="Emphasis">
    <w:name w:val="Emphasis"/>
    <w:basedOn w:val="DefaultParagraphFont"/>
    <w:uiPriority w:val="20"/>
    <w:qFormat/>
    <w:rsid w:val="00333F05"/>
    <w:rPr>
      <w:i/>
      <w:iCs/>
    </w:rPr>
  </w:style>
  <w:style w:type="paragraph" w:customStyle="1" w:styleId="pagebody">
    <w:name w:val="page_body"/>
    <w:basedOn w:val="Normal"/>
    <w:rsid w:val="009F1566"/>
    <w:pPr>
      <w:suppressAutoHyphens w:val="0"/>
      <w:spacing w:before="100" w:beforeAutospacing="1" w:after="100" w:afterAutospacing="1" w:line="240" w:lineRule="auto"/>
    </w:pPr>
    <w:rPr>
      <w:rFonts w:ascii="Verdana" w:hAnsi="Verdana"/>
      <w:lang w:val="es-MX" w:eastAsia="es-MX"/>
    </w:rPr>
  </w:style>
  <w:style w:type="character" w:customStyle="1" w:styleId="H1GChar">
    <w:name w:val="_ H_1_G Char"/>
    <w:link w:val="H1G"/>
    <w:rsid w:val="009F1566"/>
    <w:rPr>
      <w:b/>
      <w:sz w:val="24"/>
      <w:lang w:eastAsia="en-US"/>
    </w:rPr>
  </w:style>
  <w:style w:type="table" w:customStyle="1" w:styleId="ScrollTableNormal">
    <w:name w:val="Scroll Table Normal"/>
    <w:basedOn w:val="TableNormal"/>
    <w:uiPriority w:val="99"/>
    <w:qFormat/>
    <w:rsid w:val="00613423"/>
    <w:rPr>
      <w:sz w:val="24"/>
      <w:szCs w:val="24"/>
      <w:lang w:val="en-US" w:eastAsia="en-US"/>
    </w:rPr>
    <w:tblPr>
      <w:tblBorders>
        <w:top w:val="single" w:sz="4" w:space="0" w:color="DDDDDD"/>
        <w:left w:val="single" w:sz="4" w:space="0" w:color="DDDDDD"/>
        <w:bottom w:val="single" w:sz="4" w:space="0" w:color="DDDDDD"/>
        <w:right w:val="single" w:sz="4" w:space="0" w:color="DDDDDD"/>
        <w:insideH w:val="single" w:sz="4" w:space="0" w:color="DDDDDD"/>
        <w:insideV w:val="single" w:sz="4" w:space="0" w:color="DDDDDD"/>
      </w:tblBorders>
    </w:tblPr>
    <w:tblStylePr w:type="firstRow">
      <w:rPr>
        <w:b/>
        <w:color w:val="003366"/>
      </w:rPr>
      <w:tblPr/>
      <w:trPr>
        <w:tblHeader/>
      </w:trPr>
      <w:tcPr>
        <w:tcBorders>
          <w:top w:val="single" w:sz="4" w:space="0" w:color="DDDDDD"/>
          <w:left w:val="single" w:sz="4" w:space="0" w:color="DDDDDD"/>
          <w:bottom w:val="single" w:sz="4" w:space="0" w:color="DDDDDD"/>
          <w:right w:val="single" w:sz="4" w:space="0" w:color="DDDDDD"/>
          <w:insideH w:val="single" w:sz="4" w:space="0" w:color="DDDDDD"/>
          <w:insideV w:val="single" w:sz="4" w:space="0" w:color="DDDDDD"/>
          <w:tl2br w:val="nil"/>
          <w:tr2bl w:val="nil"/>
        </w:tcBorders>
        <w:shd w:val="clear" w:color="auto" w:fill="F0F0F0"/>
      </w:tcPr>
    </w:tblStylePr>
    <w:tblStylePr w:type="firstCol">
      <w:rPr>
        <w:b/>
        <w:color w:val="003263"/>
      </w:rPr>
      <w:tblPr/>
      <w:tcPr>
        <w:shd w:val="clear" w:color="auto" w:fill="F0F0F0"/>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007504">
      <w:bodyDiv w:val="1"/>
      <w:marLeft w:val="0"/>
      <w:marRight w:val="0"/>
      <w:marTop w:val="0"/>
      <w:marBottom w:val="0"/>
      <w:divBdr>
        <w:top w:val="none" w:sz="0" w:space="0" w:color="auto"/>
        <w:left w:val="none" w:sz="0" w:space="0" w:color="auto"/>
        <w:bottom w:val="none" w:sz="0" w:space="0" w:color="auto"/>
        <w:right w:val="none" w:sz="0" w:space="0" w:color="auto"/>
      </w:divBdr>
    </w:div>
    <w:div w:id="138543751">
      <w:bodyDiv w:val="1"/>
      <w:marLeft w:val="0"/>
      <w:marRight w:val="0"/>
      <w:marTop w:val="0"/>
      <w:marBottom w:val="0"/>
      <w:divBdr>
        <w:top w:val="none" w:sz="0" w:space="0" w:color="auto"/>
        <w:left w:val="none" w:sz="0" w:space="0" w:color="auto"/>
        <w:bottom w:val="none" w:sz="0" w:space="0" w:color="auto"/>
        <w:right w:val="none" w:sz="0" w:space="0" w:color="auto"/>
      </w:divBdr>
      <w:divsChild>
        <w:div w:id="948312709">
          <w:marLeft w:val="0"/>
          <w:marRight w:val="0"/>
          <w:marTop w:val="0"/>
          <w:marBottom w:val="0"/>
          <w:divBdr>
            <w:top w:val="none" w:sz="0" w:space="0" w:color="auto"/>
            <w:left w:val="none" w:sz="0" w:space="0" w:color="auto"/>
            <w:bottom w:val="none" w:sz="0" w:space="0" w:color="auto"/>
            <w:right w:val="none" w:sz="0" w:space="0" w:color="auto"/>
          </w:divBdr>
        </w:div>
        <w:div w:id="1734352052">
          <w:marLeft w:val="0"/>
          <w:marRight w:val="0"/>
          <w:marTop w:val="0"/>
          <w:marBottom w:val="0"/>
          <w:divBdr>
            <w:top w:val="none" w:sz="0" w:space="0" w:color="auto"/>
            <w:left w:val="none" w:sz="0" w:space="0" w:color="auto"/>
            <w:bottom w:val="none" w:sz="0" w:space="0" w:color="auto"/>
            <w:right w:val="none" w:sz="0" w:space="0" w:color="auto"/>
          </w:divBdr>
        </w:div>
        <w:div w:id="1034386536">
          <w:marLeft w:val="0"/>
          <w:marRight w:val="0"/>
          <w:marTop w:val="0"/>
          <w:marBottom w:val="0"/>
          <w:divBdr>
            <w:top w:val="none" w:sz="0" w:space="0" w:color="auto"/>
            <w:left w:val="none" w:sz="0" w:space="0" w:color="auto"/>
            <w:bottom w:val="none" w:sz="0" w:space="0" w:color="auto"/>
            <w:right w:val="none" w:sz="0" w:space="0" w:color="auto"/>
          </w:divBdr>
        </w:div>
        <w:div w:id="1334575588">
          <w:marLeft w:val="0"/>
          <w:marRight w:val="0"/>
          <w:marTop w:val="0"/>
          <w:marBottom w:val="0"/>
          <w:divBdr>
            <w:top w:val="none" w:sz="0" w:space="0" w:color="auto"/>
            <w:left w:val="none" w:sz="0" w:space="0" w:color="auto"/>
            <w:bottom w:val="none" w:sz="0" w:space="0" w:color="auto"/>
            <w:right w:val="none" w:sz="0" w:space="0" w:color="auto"/>
          </w:divBdr>
        </w:div>
      </w:divsChild>
    </w:div>
    <w:div w:id="383719090">
      <w:bodyDiv w:val="1"/>
      <w:marLeft w:val="0"/>
      <w:marRight w:val="0"/>
      <w:marTop w:val="0"/>
      <w:marBottom w:val="0"/>
      <w:divBdr>
        <w:top w:val="none" w:sz="0" w:space="0" w:color="auto"/>
        <w:left w:val="none" w:sz="0" w:space="0" w:color="auto"/>
        <w:bottom w:val="none" w:sz="0" w:space="0" w:color="auto"/>
        <w:right w:val="none" w:sz="0" w:space="0" w:color="auto"/>
      </w:divBdr>
      <w:divsChild>
        <w:div w:id="1969628146">
          <w:marLeft w:val="288"/>
          <w:marRight w:val="0"/>
          <w:marTop w:val="240"/>
          <w:marBottom w:val="0"/>
          <w:divBdr>
            <w:top w:val="none" w:sz="0" w:space="0" w:color="auto"/>
            <w:left w:val="none" w:sz="0" w:space="0" w:color="auto"/>
            <w:bottom w:val="none" w:sz="0" w:space="0" w:color="auto"/>
            <w:right w:val="none" w:sz="0" w:space="0" w:color="auto"/>
          </w:divBdr>
        </w:div>
      </w:divsChild>
    </w:div>
    <w:div w:id="410539997">
      <w:bodyDiv w:val="1"/>
      <w:marLeft w:val="0"/>
      <w:marRight w:val="0"/>
      <w:marTop w:val="0"/>
      <w:marBottom w:val="0"/>
      <w:divBdr>
        <w:top w:val="none" w:sz="0" w:space="0" w:color="auto"/>
        <w:left w:val="none" w:sz="0" w:space="0" w:color="auto"/>
        <w:bottom w:val="none" w:sz="0" w:space="0" w:color="auto"/>
        <w:right w:val="none" w:sz="0" w:space="0" w:color="auto"/>
      </w:divBdr>
      <w:divsChild>
        <w:div w:id="450783875">
          <w:marLeft w:val="288"/>
          <w:marRight w:val="0"/>
          <w:marTop w:val="240"/>
          <w:marBottom w:val="0"/>
          <w:divBdr>
            <w:top w:val="none" w:sz="0" w:space="0" w:color="auto"/>
            <w:left w:val="none" w:sz="0" w:space="0" w:color="auto"/>
            <w:bottom w:val="none" w:sz="0" w:space="0" w:color="auto"/>
            <w:right w:val="none" w:sz="0" w:space="0" w:color="auto"/>
          </w:divBdr>
        </w:div>
        <w:div w:id="1944724822">
          <w:marLeft w:val="648"/>
          <w:marRight w:val="0"/>
          <w:marTop w:val="160"/>
          <w:marBottom w:val="0"/>
          <w:divBdr>
            <w:top w:val="none" w:sz="0" w:space="0" w:color="auto"/>
            <w:left w:val="none" w:sz="0" w:space="0" w:color="auto"/>
            <w:bottom w:val="none" w:sz="0" w:space="0" w:color="auto"/>
            <w:right w:val="none" w:sz="0" w:space="0" w:color="auto"/>
          </w:divBdr>
        </w:div>
        <w:div w:id="1968849205">
          <w:marLeft w:val="648"/>
          <w:marRight w:val="0"/>
          <w:marTop w:val="160"/>
          <w:marBottom w:val="0"/>
          <w:divBdr>
            <w:top w:val="none" w:sz="0" w:space="0" w:color="auto"/>
            <w:left w:val="none" w:sz="0" w:space="0" w:color="auto"/>
            <w:bottom w:val="none" w:sz="0" w:space="0" w:color="auto"/>
            <w:right w:val="none" w:sz="0" w:space="0" w:color="auto"/>
          </w:divBdr>
        </w:div>
        <w:div w:id="717703093">
          <w:marLeft w:val="648"/>
          <w:marRight w:val="0"/>
          <w:marTop w:val="160"/>
          <w:marBottom w:val="0"/>
          <w:divBdr>
            <w:top w:val="none" w:sz="0" w:space="0" w:color="auto"/>
            <w:left w:val="none" w:sz="0" w:space="0" w:color="auto"/>
            <w:bottom w:val="none" w:sz="0" w:space="0" w:color="auto"/>
            <w:right w:val="none" w:sz="0" w:space="0" w:color="auto"/>
          </w:divBdr>
        </w:div>
      </w:divsChild>
    </w:div>
    <w:div w:id="471335238">
      <w:bodyDiv w:val="1"/>
      <w:marLeft w:val="0"/>
      <w:marRight w:val="0"/>
      <w:marTop w:val="0"/>
      <w:marBottom w:val="0"/>
      <w:divBdr>
        <w:top w:val="none" w:sz="0" w:space="0" w:color="auto"/>
        <w:left w:val="none" w:sz="0" w:space="0" w:color="auto"/>
        <w:bottom w:val="none" w:sz="0" w:space="0" w:color="auto"/>
        <w:right w:val="none" w:sz="0" w:space="0" w:color="auto"/>
      </w:divBdr>
    </w:div>
    <w:div w:id="617028639">
      <w:bodyDiv w:val="1"/>
      <w:marLeft w:val="0"/>
      <w:marRight w:val="0"/>
      <w:marTop w:val="0"/>
      <w:marBottom w:val="0"/>
      <w:divBdr>
        <w:top w:val="none" w:sz="0" w:space="0" w:color="auto"/>
        <w:left w:val="none" w:sz="0" w:space="0" w:color="auto"/>
        <w:bottom w:val="none" w:sz="0" w:space="0" w:color="auto"/>
        <w:right w:val="none" w:sz="0" w:space="0" w:color="auto"/>
      </w:divBdr>
      <w:divsChild>
        <w:div w:id="1690326917">
          <w:marLeft w:val="288"/>
          <w:marRight w:val="0"/>
          <w:marTop w:val="240"/>
          <w:marBottom w:val="0"/>
          <w:divBdr>
            <w:top w:val="none" w:sz="0" w:space="0" w:color="auto"/>
            <w:left w:val="none" w:sz="0" w:space="0" w:color="auto"/>
            <w:bottom w:val="none" w:sz="0" w:space="0" w:color="auto"/>
            <w:right w:val="none" w:sz="0" w:space="0" w:color="auto"/>
          </w:divBdr>
        </w:div>
      </w:divsChild>
    </w:div>
    <w:div w:id="669406549">
      <w:bodyDiv w:val="1"/>
      <w:marLeft w:val="0"/>
      <w:marRight w:val="0"/>
      <w:marTop w:val="0"/>
      <w:marBottom w:val="0"/>
      <w:divBdr>
        <w:top w:val="none" w:sz="0" w:space="0" w:color="auto"/>
        <w:left w:val="none" w:sz="0" w:space="0" w:color="auto"/>
        <w:bottom w:val="none" w:sz="0" w:space="0" w:color="auto"/>
        <w:right w:val="none" w:sz="0" w:space="0" w:color="auto"/>
      </w:divBdr>
    </w:div>
    <w:div w:id="748430568">
      <w:bodyDiv w:val="1"/>
      <w:marLeft w:val="0"/>
      <w:marRight w:val="0"/>
      <w:marTop w:val="0"/>
      <w:marBottom w:val="0"/>
      <w:divBdr>
        <w:top w:val="none" w:sz="0" w:space="0" w:color="auto"/>
        <w:left w:val="none" w:sz="0" w:space="0" w:color="auto"/>
        <w:bottom w:val="none" w:sz="0" w:space="0" w:color="auto"/>
        <w:right w:val="none" w:sz="0" w:space="0" w:color="auto"/>
      </w:divBdr>
      <w:divsChild>
        <w:div w:id="1713189536">
          <w:marLeft w:val="446"/>
          <w:marRight w:val="0"/>
          <w:marTop w:val="0"/>
          <w:marBottom w:val="240"/>
          <w:divBdr>
            <w:top w:val="none" w:sz="0" w:space="0" w:color="auto"/>
            <w:left w:val="none" w:sz="0" w:space="0" w:color="auto"/>
            <w:bottom w:val="none" w:sz="0" w:space="0" w:color="auto"/>
            <w:right w:val="none" w:sz="0" w:space="0" w:color="auto"/>
          </w:divBdr>
        </w:div>
      </w:divsChild>
    </w:div>
    <w:div w:id="786586434">
      <w:bodyDiv w:val="1"/>
      <w:marLeft w:val="0"/>
      <w:marRight w:val="0"/>
      <w:marTop w:val="0"/>
      <w:marBottom w:val="0"/>
      <w:divBdr>
        <w:top w:val="none" w:sz="0" w:space="0" w:color="auto"/>
        <w:left w:val="none" w:sz="0" w:space="0" w:color="auto"/>
        <w:bottom w:val="none" w:sz="0" w:space="0" w:color="auto"/>
        <w:right w:val="none" w:sz="0" w:space="0" w:color="auto"/>
      </w:divBdr>
      <w:divsChild>
        <w:div w:id="2019455202">
          <w:marLeft w:val="288"/>
          <w:marRight w:val="0"/>
          <w:marTop w:val="240"/>
          <w:marBottom w:val="0"/>
          <w:divBdr>
            <w:top w:val="none" w:sz="0" w:space="0" w:color="auto"/>
            <w:left w:val="none" w:sz="0" w:space="0" w:color="auto"/>
            <w:bottom w:val="none" w:sz="0" w:space="0" w:color="auto"/>
            <w:right w:val="none" w:sz="0" w:space="0" w:color="auto"/>
          </w:divBdr>
        </w:div>
      </w:divsChild>
    </w:div>
    <w:div w:id="1033917185">
      <w:bodyDiv w:val="1"/>
      <w:marLeft w:val="0"/>
      <w:marRight w:val="0"/>
      <w:marTop w:val="0"/>
      <w:marBottom w:val="0"/>
      <w:divBdr>
        <w:top w:val="none" w:sz="0" w:space="0" w:color="auto"/>
        <w:left w:val="none" w:sz="0" w:space="0" w:color="auto"/>
        <w:bottom w:val="none" w:sz="0" w:space="0" w:color="auto"/>
        <w:right w:val="none" w:sz="0" w:space="0" w:color="auto"/>
      </w:divBdr>
      <w:divsChild>
        <w:div w:id="620308718">
          <w:marLeft w:val="547"/>
          <w:marRight w:val="0"/>
          <w:marTop w:val="134"/>
          <w:marBottom w:val="0"/>
          <w:divBdr>
            <w:top w:val="none" w:sz="0" w:space="0" w:color="auto"/>
            <w:left w:val="none" w:sz="0" w:space="0" w:color="auto"/>
            <w:bottom w:val="none" w:sz="0" w:space="0" w:color="auto"/>
            <w:right w:val="none" w:sz="0" w:space="0" w:color="auto"/>
          </w:divBdr>
        </w:div>
        <w:div w:id="1422483204">
          <w:marLeft w:val="547"/>
          <w:marRight w:val="0"/>
          <w:marTop w:val="134"/>
          <w:marBottom w:val="0"/>
          <w:divBdr>
            <w:top w:val="none" w:sz="0" w:space="0" w:color="auto"/>
            <w:left w:val="none" w:sz="0" w:space="0" w:color="auto"/>
            <w:bottom w:val="none" w:sz="0" w:space="0" w:color="auto"/>
            <w:right w:val="none" w:sz="0" w:space="0" w:color="auto"/>
          </w:divBdr>
        </w:div>
      </w:divsChild>
    </w:div>
    <w:div w:id="1229223850">
      <w:bodyDiv w:val="1"/>
      <w:marLeft w:val="0"/>
      <w:marRight w:val="0"/>
      <w:marTop w:val="0"/>
      <w:marBottom w:val="0"/>
      <w:divBdr>
        <w:top w:val="none" w:sz="0" w:space="0" w:color="auto"/>
        <w:left w:val="none" w:sz="0" w:space="0" w:color="auto"/>
        <w:bottom w:val="none" w:sz="0" w:space="0" w:color="auto"/>
        <w:right w:val="none" w:sz="0" w:space="0" w:color="auto"/>
      </w:divBdr>
      <w:divsChild>
        <w:div w:id="248319646">
          <w:marLeft w:val="288"/>
          <w:marRight w:val="0"/>
          <w:marTop w:val="240"/>
          <w:marBottom w:val="0"/>
          <w:divBdr>
            <w:top w:val="none" w:sz="0" w:space="0" w:color="auto"/>
            <w:left w:val="none" w:sz="0" w:space="0" w:color="auto"/>
            <w:bottom w:val="none" w:sz="0" w:space="0" w:color="auto"/>
            <w:right w:val="none" w:sz="0" w:space="0" w:color="auto"/>
          </w:divBdr>
        </w:div>
      </w:divsChild>
    </w:div>
    <w:div w:id="1647125926">
      <w:bodyDiv w:val="1"/>
      <w:marLeft w:val="0"/>
      <w:marRight w:val="0"/>
      <w:marTop w:val="0"/>
      <w:marBottom w:val="0"/>
      <w:divBdr>
        <w:top w:val="none" w:sz="0" w:space="0" w:color="auto"/>
        <w:left w:val="none" w:sz="0" w:space="0" w:color="auto"/>
        <w:bottom w:val="none" w:sz="0" w:space="0" w:color="auto"/>
        <w:right w:val="none" w:sz="0" w:space="0" w:color="auto"/>
      </w:divBdr>
      <w:divsChild>
        <w:div w:id="877545910">
          <w:marLeft w:val="288"/>
          <w:marRight w:val="0"/>
          <w:marTop w:val="240"/>
          <w:marBottom w:val="0"/>
          <w:divBdr>
            <w:top w:val="none" w:sz="0" w:space="0" w:color="auto"/>
            <w:left w:val="none" w:sz="0" w:space="0" w:color="auto"/>
            <w:bottom w:val="none" w:sz="0" w:space="0" w:color="auto"/>
            <w:right w:val="none" w:sz="0" w:space="0" w:color="auto"/>
          </w:divBdr>
        </w:div>
      </w:divsChild>
    </w:div>
    <w:div w:id="1822112548">
      <w:bodyDiv w:val="1"/>
      <w:marLeft w:val="0"/>
      <w:marRight w:val="0"/>
      <w:marTop w:val="0"/>
      <w:marBottom w:val="0"/>
      <w:divBdr>
        <w:top w:val="none" w:sz="0" w:space="0" w:color="auto"/>
        <w:left w:val="none" w:sz="0" w:space="0" w:color="auto"/>
        <w:bottom w:val="none" w:sz="0" w:space="0" w:color="auto"/>
        <w:right w:val="none" w:sz="0" w:space="0" w:color="auto"/>
      </w:divBdr>
    </w:div>
    <w:div w:id="1965497616">
      <w:bodyDiv w:val="1"/>
      <w:marLeft w:val="0"/>
      <w:marRight w:val="0"/>
      <w:marTop w:val="0"/>
      <w:marBottom w:val="0"/>
      <w:divBdr>
        <w:top w:val="none" w:sz="0" w:space="0" w:color="auto"/>
        <w:left w:val="none" w:sz="0" w:space="0" w:color="auto"/>
        <w:bottom w:val="none" w:sz="0" w:space="0" w:color="auto"/>
        <w:right w:val="none" w:sz="0" w:space="0" w:color="auto"/>
      </w:divBdr>
      <w:divsChild>
        <w:div w:id="1379352016">
          <w:marLeft w:val="288"/>
          <w:marRight w:val="0"/>
          <w:marTop w:val="24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pubs.opengroup.org/architecture/togaf9-doc/arch/chap03.html"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statswiki.unece.org/pages/viewpage.action?pageId=129172266" TargetMode="External"/><Relationship Id="rId2" Type="http://schemas.openxmlformats.org/officeDocument/2006/relationships/hyperlink" Target="http://www.opengroup.org/soa/source-book/osimmv2/" TargetMode="External"/><Relationship Id="rId1" Type="http://schemas.openxmlformats.org/officeDocument/2006/relationships/hyperlink" Target="http://pubs.opengroup.org/architecture/togaf9-doc/arch/chap03.html" TargetMode="External"/><Relationship Id="rId6" Type="http://schemas.openxmlformats.org/officeDocument/2006/relationships/hyperlink" Target="https://statswiki.unece.org/display/GORM/8.+Risk+management+maturity+model" TargetMode="External"/><Relationship Id="rId5" Type="http://schemas.openxmlformats.org/officeDocument/2006/relationships/hyperlink" Target="https://statswiki.unece.org/pages/viewpage.action?pageId=129172266" TargetMode="External"/><Relationship Id="rId4" Type="http://schemas.openxmlformats.org/officeDocument/2006/relationships/hyperlink" Target="https://statswiki.unece.org/display/RMIMS/MMM+Roadmap+Too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6D8B05-1C63-4F40-8194-D0F66E375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11</Pages>
  <Words>3970</Words>
  <Characters>22629</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26546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Anu Peltola</dc:creator>
  <cp:lastModifiedBy>Steven Vale</cp:lastModifiedBy>
  <cp:revision>17</cp:revision>
  <cp:lastPrinted>2018-06-14T14:58:00Z</cp:lastPrinted>
  <dcterms:created xsi:type="dcterms:W3CDTF">2018-05-16T14:32:00Z</dcterms:created>
  <dcterms:modified xsi:type="dcterms:W3CDTF">2018-09-18T11:31:00Z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CSD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