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D08" w:rsidRDefault="006C749C" w:rsidP="007C4D08">
      <w:pPr>
        <w:pStyle w:val="Title"/>
        <w:jc w:val="center"/>
      </w:pPr>
      <w:r>
        <w:t xml:space="preserve">Using data integration </w:t>
      </w:r>
    </w:p>
    <w:p w:rsidR="007E18BC" w:rsidRDefault="006C749C" w:rsidP="007C4D08">
      <w:pPr>
        <w:pStyle w:val="Title"/>
        <w:jc w:val="center"/>
      </w:pPr>
      <w:r>
        <w:t>to validate official statistics</w:t>
      </w:r>
    </w:p>
    <w:p w:rsidR="006C749C" w:rsidRDefault="00500F57" w:rsidP="007C4D08">
      <w:pPr>
        <w:jc w:val="center"/>
      </w:pPr>
      <w:r>
        <w:t>Felibel Zabala, Statistics NZ</w:t>
      </w:r>
    </w:p>
    <w:p w:rsidR="00500F57" w:rsidRPr="00D624A6" w:rsidRDefault="00500F57" w:rsidP="00D624A6">
      <w:pPr>
        <w:pStyle w:val="Heading1"/>
        <w:spacing w:before="0"/>
        <w:jc w:val="both"/>
        <w:rPr>
          <w:rFonts w:asciiTheme="minorHAnsi" w:hAnsiTheme="minorHAnsi"/>
        </w:rPr>
      </w:pPr>
      <w:r w:rsidRPr="00D624A6">
        <w:rPr>
          <w:rFonts w:asciiTheme="minorHAnsi" w:hAnsiTheme="minorHAnsi"/>
        </w:rPr>
        <w:t>Introduction</w:t>
      </w:r>
    </w:p>
    <w:p w:rsidR="002767CB" w:rsidRPr="00D624A6" w:rsidRDefault="00500F57" w:rsidP="00D624A6">
      <w:pPr>
        <w:jc w:val="both"/>
      </w:pPr>
      <w:r w:rsidRPr="00D624A6">
        <w:t>Statistics New Zealand</w:t>
      </w:r>
      <w:r w:rsidR="00A67C9F" w:rsidRPr="00D624A6">
        <w:t xml:space="preserve"> has been </w:t>
      </w:r>
      <w:r w:rsidR="001045D6" w:rsidRPr="00D624A6">
        <w:t>undertaking</w:t>
      </w:r>
      <w:r w:rsidR="00A67C9F" w:rsidRPr="00D624A6">
        <w:t xml:space="preserve"> data integration</w:t>
      </w:r>
      <w:r w:rsidR="001045D6" w:rsidRPr="00D624A6">
        <w:t xml:space="preserve"> </w:t>
      </w:r>
      <w:r w:rsidR="008A7C99" w:rsidRPr="00D624A6">
        <w:t xml:space="preserve">since the </w:t>
      </w:r>
      <w:r w:rsidR="00651375" w:rsidRPr="00D624A6">
        <w:t xml:space="preserve">beginning of the </w:t>
      </w:r>
      <w:r w:rsidR="008A7C99" w:rsidRPr="00D624A6">
        <w:t>1990’s</w:t>
      </w:r>
      <w:r w:rsidR="00AF61A0" w:rsidRPr="00D624A6">
        <w:t xml:space="preserve"> (Statistics NZ, 2013)</w:t>
      </w:r>
      <w:r w:rsidR="001045D6" w:rsidRPr="00D624A6">
        <w:t>.</w:t>
      </w:r>
      <w:r w:rsidR="00B464F1" w:rsidRPr="00D624A6">
        <w:t xml:space="preserve"> </w:t>
      </w:r>
      <w:r w:rsidR="00651375" w:rsidRPr="00D624A6">
        <w:rPr>
          <w:rFonts w:cstheme="minorHAnsi"/>
          <w:color w:val="000000"/>
        </w:rPr>
        <w:t xml:space="preserve">The earliest uses were mostly Statistics NZ driven but later </w:t>
      </w:r>
      <w:r w:rsidR="00651375" w:rsidRPr="00D624A6">
        <w:t xml:space="preserve">data integration projects have been advanced from external interest. The push from the NZ government for the design of new statistics </w:t>
      </w:r>
      <w:r w:rsidR="004524A1" w:rsidRPr="00D624A6">
        <w:t>using integration of</w:t>
      </w:r>
      <w:r w:rsidR="00651375" w:rsidRPr="00D624A6">
        <w:t xml:space="preserve"> administrative data </w:t>
      </w:r>
      <w:r w:rsidR="004524A1" w:rsidRPr="00D624A6">
        <w:t xml:space="preserve">from different government agencies </w:t>
      </w:r>
      <w:r w:rsidR="00651375" w:rsidRPr="00D624A6">
        <w:t>came in 1997</w:t>
      </w:r>
      <w:r w:rsidR="004524A1" w:rsidRPr="00D624A6">
        <w:t xml:space="preserve"> with the first trial being the integration of income </w:t>
      </w:r>
      <w:r w:rsidR="00E470B5">
        <w:t xml:space="preserve">data </w:t>
      </w:r>
      <w:r w:rsidR="004524A1" w:rsidRPr="00D624A6">
        <w:t>from Inland Revenue and beneficiary data from then the Ministry of Social Development</w:t>
      </w:r>
      <w:r w:rsidR="00651375" w:rsidRPr="00D624A6">
        <w:t xml:space="preserve">. </w:t>
      </w:r>
      <w:r w:rsidR="004524A1" w:rsidRPr="00D624A6">
        <w:t>Since then d</w:t>
      </w:r>
      <w:r w:rsidR="00B464F1" w:rsidRPr="00D624A6">
        <w:t xml:space="preserve">ata sources integrated </w:t>
      </w:r>
      <w:r w:rsidR="002767CB" w:rsidRPr="00D624A6">
        <w:t xml:space="preserve">expanded to </w:t>
      </w:r>
      <w:r w:rsidR="00B464F1" w:rsidRPr="00D624A6">
        <w:t xml:space="preserve">include traditional survey data. </w:t>
      </w:r>
    </w:p>
    <w:p w:rsidR="00B464F1" w:rsidRPr="00D624A6" w:rsidRDefault="00B464F1" w:rsidP="00D624A6">
      <w:pPr>
        <w:jc w:val="both"/>
      </w:pPr>
      <w:r w:rsidRPr="00D624A6">
        <w:t xml:space="preserve">Statistics NZ’s Integrated Data Infrastructure (IDI) </w:t>
      </w:r>
      <w:r w:rsidR="00834294" w:rsidRPr="00D624A6">
        <w:rPr>
          <w:rFonts w:cstheme="minorHAnsi"/>
        </w:rPr>
        <w:t xml:space="preserve">brings together linked datasets from a range of government agencies (including our own). The IDI </w:t>
      </w:r>
      <w:r w:rsidRPr="00D624A6">
        <w:t>is a large research database containing microdata about people and households</w:t>
      </w:r>
      <w:r w:rsidR="00834294" w:rsidRPr="00D624A6">
        <w:t xml:space="preserve"> and is continually growing</w:t>
      </w:r>
      <w:r w:rsidRPr="00D624A6">
        <w:t xml:space="preserve">. </w:t>
      </w:r>
      <w:r w:rsidR="006A691E" w:rsidRPr="00D624A6">
        <w:t>T</w:t>
      </w:r>
      <w:r w:rsidRPr="00D624A6">
        <w:t xml:space="preserve">he IDI </w:t>
      </w:r>
      <w:r w:rsidR="006A691E" w:rsidRPr="00D624A6">
        <w:t xml:space="preserve">has paved the way </w:t>
      </w:r>
      <w:r w:rsidRPr="00D624A6">
        <w:t xml:space="preserve">to answer complex </w:t>
      </w:r>
      <w:r w:rsidR="006A691E" w:rsidRPr="00D624A6">
        <w:t xml:space="preserve">research </w:t>
      </w:r>
      <w:r w:rsidRPr="00D624A6">
        <w:t>questions to improve outcomes for New Zealanders.</w:t>
      </w:r>
    </w:p>
    <w:p w:rsidR="00FE46FC" w:rsidRPr="00D624A6" w:rsidRDefault="00FE46FC" w:rsidP="00D624A6">
      <w:pPr>
        <w:jc w:val="both"/>
      </w:pPr>
      <w:r w:rsidRPr="00D624A6">
        <w:t xml:space="preserve">The linking in the IDI is done by record linkage. The aim in record linkage is to link together two records from different datasets that belong to the same person or entity. Where the data cannot be directly linked on common identifiers, the linking is based on probabilistic linking. In probabilistic linking, records from one dataset are compared with records from another dataset. The aim of the linking in the IDI is to minimise creating erroneous links, that is, to maximise the precision rate. The program used in the linkage is IBM QualityStage. This program provides the software needed to perform probabilistic record linkage, according to the Fellegi and Sunter methodology. Details of the linking methodology in the IDI are available in </w:t>
      </w:r>
      <w:hyperlink r:id="rId9" w:history="1">
        <w:r w:rsidR="00CA7716" w:rsidRPr="00D624A6">
          <w:rPr>
            <w:rStyle w:val="Hyperlink"/>
            <w:rFonts w:cstheme="minorHAnsi"/>
          </w:rPr>
          <w:t>Linking methodology used by Statistics New Zealand in the Integrated Data Infrastructure project</w:t>
        </w:r>
      </w:hyperlink>
      <w:r w:rsidRPr="00D624A6">
        <w:t>.</w:t>
      </w:r>
    </w:p>
    <w:p w:rsidR="00CC151D" w:rsidRPr="00D624A6" w:rsidRDefault="00CC151D" w:rsidP="00D624A6">
      <w:pPr>
        <w:spacing w:after="0"/>
        <w:jc w:val="both"/>
        <w:rPr>
          <w:rFonts w:cs="Times New Roman"/>
          <w:szCs w:val="24"/>
        </w:rPr>
      </w:pPr>
      <w:r w:rsidRPr="00D624A6">
        <w:rPr>
          <w:rFonts w:cstheme="minorHAnsi"/>
        </w:rPr>
        <w:t xml:space="preserve">This paper </w:t>
      </w:r>
      <w:r w:rsidR="000E0B58" w:rsidRPr="00D624A6">
        <w:rPr>
          <w:rFonts w:cstheme="minorHAnsi"/>
        </w:rPr>
        <w:t>describes</w:t>
      </w:r>
      <w:r w:rsidRPr="00D624A6">
        <w:rPr>
          <w:rFonts w:cstheme="minorHAnsi"/>
        </w:rPr>
        <w:t xml:space="preserve"> different applications of data integration at Statistics NZ</w:t>
      </w:r>
      <w:r w:rsidR="00C945F4" w:rsidRPr="00D624A6">
        <w:rPr>
          <w:rFonts w:cstheme="minorHAnsi"/>
        </w:rPr>
        <w:t xml:space="preserve"> including its use for validating statistics</w:t>
      </w:r>
      <w:r w:rsidRPr="00D624A6">
        <w:rPr>
          <w:rFonts w:cstheme="minorHAnsi"/>
        </w:rPr>
        <w:t xml:space="preserve">. It will document </w:t>
      </w:r>
      <w:r w:rsidRPr="00D624A6">
        <w:rPr>
          <w:rFonts w:cs="Times New Roman"/>
          <w:szCs w:val="24"/>
        </w:rPr>
        <w:t xml:space="preserve">issues identified with </w:t>
      </w:r>
      <w:r w:rsidR="00C945F4" w:rsidRPr="00D624A6">
        <w:rPr>
          <w:rFonts w:cs="Times New Roman"/>
          <w:szCs w:val="24"/>
        </w:rPr>
        <w:t xml:space="preserve">the </w:t>
      </w:r>
      <w:r w:rsidRPr="00D624A6">
        <w:rPr>
          <w:rFonts w:cs="Times New Roman"/>
          <w:szCs w:val="24"/>
        </w:rPr>
        <w:t xml:space="preserve">use of administrative data to </w:t>
      </w:r>
      <w:r w:rsidR="000F2922" w:rsidRPr="00D624A6">
        <w:rPr>
          <w:rFonts w:cs="Times New Roman"/>
          <w:szCs w:val="24"/>
        </w:rPr>
        <w:t xml:space="preserve">create and </w:t>
      </w:r>
      <w:r w:rsidRPr="00D624A6">
        <w:rPr>
          <w:rFonts w:cs="Times New Roman"/>
          <w:szCs w:val="24"/>
        </w:rPr>
        <w:t>validate official statistics</w:t>
      </w:r>
      <w:r w:rsidR="000E0B58" w:rsidRPr="00D624A6">
        <w:rPr>
          <w:rFonts w:cs="Times New Roman"/>
          <w:szCs w:val="24"/>
        </w:rPr>
        <w:t>. It will also present lessons learnt from undertaking such activities.</w:t>
      </w:r>
    </w:p>
    <w:p w:rsidR="00C5127E" w:rsidRPr="00D624A6" w:rsidRDefault="00C5127E" w:rsidP="00D624A6">
      <w:pPr>
        <w:pStyle w:val="Heading1"/>
        <w:jc w:val="both"/>
        <w:rPr>
          <w:rFonts w:asciiTheme="minorHAnsi" w:hAnsiTheme="minorHAnsi" w:cs="Times New Roman"/>
          <w:szCs w:val="24"/>
        </w:rPr>
      </w:pPr>
      <w:r w:rsidRPr="00D624A6">
        <w:rPr>
          <w:rFonts w:asciiTheme="minorHAnsi" w:hAnsiTheme="minorHAnsi" w:cs="Times New Roman"/>
          <w:szCs w:val="24"/>
        </w:rPr>
        <w:t>Design of new statistics</w:t>
      </w:r>
    </w:p>
    <w:p w:rsidR="007C4D08" w:rsidRPr="00D624A6" w:rsidRDefault="007C4D08" w:rsidP="00D624A6">
      <w:pPr>
        <w:pStyle w:val="Heading2"/>
        <w:spacing w:before="0"/>
        <w:jc w:val="both"/>
        <w:rPr>
          <w:rFonts w:asciiTheme="minorHAnsi" w:hAnsiTheme="minorHAnsi"/>
        </w:rPr>
      </w:pPr>
      <w:r w:rsidRPr="00D624A6">
        <w:rPr>
          <w:rFonts w:asciiTheme="minorHAnsi" w:hAnsiTheme="minorHAnsi"/>
        </w:rPr>
        <w:t xml:space="preserve">Linked Employer-Employee Data (LEED) </w:t>
      </w:r>
      <w:r w:rsidR="00F43776" w:rsidRPr="00D624A6">
        <w:rPr>
          <w:rFonts w:asciiTheme="minorHAnsi" w:hAnsiTheme="minorHAnsi"/>
        </w:rPr>
        <w:t>project</w:t>
      </w:r>
    </w:p>
    <w:p w:rsidR="0093589B" w:rsidRPr="00D624A6" w:rsidRDefault="00174780" w:rsidP="00D624A6">
      <w:pPr>
        <w:pStyle w:val="NormalWeb"/>
        <w:spacing w:before="0" w:beforeAutospacing="0" w:line="276" w:lineRule="auto"/>
        <w:jc w:val="both"/>
        <w:rPr>
          <w:rFonts w:asciiTheme="minorHAnsi" w:hAnsiTheme="minorHAnsi" w:cstheme="minorHAnsi"/>
          <w:sz w:val="22"/>
          <w:szCs w:val="22"/>
        </w:rPr>
      </w:pPr>
      <w:r w:rsidRPr="00D624A6">
        <w:rPr>
          <w:rFonts w:asciiTheme="minorHAnsi" w:hAnsiTheme="minorHAnsi" w:cstheme="minorHAnsi"/>
          <w:sz w:val="22"/>
          <w:szCs w:val="22"/>
        </w:rPr>
        <w:t>The first statistics designed from data integration were person-level statistics obtained from the LEED project Statistics NZ, 2012</w:t>
      </w:r>
      <w:r w:rsidR="004E68A1" w:rsidRPr="00D624A6">
        <w:rPr>
          <w:rFonts w:asciiTheme="minorHAnsi" w:hAnsiTheme="minorHAnsi" w:cstheme="minorHAnsi"/>
          <w:sz w:val="22"/>
          <w:szCs w:val="22"/>
        </w:rPr>
        <w:t>a</w:t>
      </w:r>
      <w:r w:rsidRPr="00D624A6">
        <w:rPr>
          <w:rFonts w:asciiTheme="minorHAnsi" w:hAnsiTheme="minorHAnsi" w:cstheme="minorHAnsi"/>
          <w:sz w:val="22"/>
          <w:szCs w:val="22"/>
        </w:rPr>
        <w:t xml:space="preserve">). LEED is one of </w:t>
      </w:r>
      <w:r w:rsidR="0093589B" w:rsidRPr="00D624A6">
        <w:rPr>
          <w:rFonts w:asciiTheme="minorHAnsi" w:hAnsiTheme="minorHAnsi" w:cstheme="minorHAnsi"/>
          <w:sz w:val="22"/>
          <w:szCs w:val="22"/>
        </w:rPr>
        <w:t>Statis</w:t>
      </w:r>
      <w:r w:rsidRPr="00D624A6">
        <w:rPr>
          <w:rFonts w:asciiTheme="minorHAnsi" w:hAnsiTheme="minorHAnsi" w:cstheme="minorHAnsi"/>
          <w:sz w:val="22"/>
          <w:szCs w:val="22"/>
        </w:rPr>
        <w:t>tics NZ’s first linked datasets</w:t>
      </w:r>
      <w:r w:rsidR="0093589B" w:rsidRPr="00D624A6">
        <w:rPr>
          <w:rFonts w:asciiTheme="minorHAnsi" w:hAnsiTheme="minorHAnsi" w:cstheme="minorHAnsi"/>
          <w:sz w:val="22"/>
          <w:szCs w:val="22"/>
        </w:rPr>
        <w:t xml:space="preserve">. Information in LEED provided the backbone of the IDI prototype. LEED is created by linking a longitudinal employer and non-employer series from Statistics NZ’s Business Frame to a longitudinal series of payroll tax data from Inland Revenue (IRD). The Business Frame is a regularly maintained list of all businesses and organisations with a turnover greater than NZ$30,000 that are engaged in the production of goods and services in New Zealand. </w:t>
      </w:r>
      <w:r w:rsidR="002E7682" w:rsidRPr="00D624A6">
        <w:rPr>
          <w:rFonts w:asciiTheme="minorHAnsi" w:hAnsiTheme="minorHAnsi" w:cstheme="minorHAnsi"/>
          <w:sz w:val="22"/>
          <w:szCs w:val="22"/>
        </w:rPr>
        <w:t xml:space="preserve">Since employees and employers have unique IRD numbers, the Inland Revenue client number is used as the key linking variable.  However, probabilistic matching is used where exact matching cannot be established. </w:t>
      </w:r>
    </w:p>
    <w:p w:rsidR="001D3D31" w:rsidRPr="00D624A6" w:rsidRDefault="0093589B" w:rsidP="00D624A6">
      <w:pPr>
        <w:spacing w:after="0"/>
        <w:jc w:val="both"/>
        <w:rPr>
          <w:rFonts w:cstheme="minorHAnsi"/>
        </w:rPr>
      </w:pPr>
      <w:r w:rsidRPr="00D624A6">
        <w:rPr>
          <w:rFonts w:eastAsia="Times New Roman" w:cstheme="minorHAnsi"/>
          <w:lang w:eastAsia="en-NZ"/>
        </w:rPr>
        <w:t xml:space="preserve">LEED is used to produce quarterly statistics that measure labour market dynamics at various levels – including industry, region, territorial authority, business size, sector, sex, and age. These statistics provide an insight into the operation of New Zealand's labour market. Some statistics it provides are filled jobs, worker flows, and total </w:t>
      </w:r>
      <w:r w:rsidRPr="00D624A6">
        <w:rPr>
          <w:rFonts w:eastAsia="Times New Roman" w:cstheme="minorHAnsi"/>
          <w:lang w:eastAsia="en-NZ"/>
        </w:rPr>
        <w:lastRenderedPageBreak/>
        <w:t>earnings. These statistics, together with other official statistics from Statistics NZ on aggregated movements on employment, help explain the causes of aggregate movements in jobs and worker flows and are therefore useful for explaining changes in the labour market. In LEED, a job is defined as a unique employer-employee pair</w:t>
      </w:r>
      <w:r w:rsidR="002E7682" w:rsidRPr="00D624A6">
        <w:rPr>
          <w:rFonts w:eastAsia="Times New Roman" w:cstheme="minorHAnsi"/>
          <w:lang w:eastAsia="en-NZ"/>
        </w:rPr>
        <w:t xml:space="preserve"> </w:t>
      </w:r>
      <w:r w:rsidRPr="00D624A6">
        <w:rPr>
          <w:rFonts w:eastAsia="Times New Roman" w:cstheme="minorHAnsi"/>
          <w:lang w:eastAsia="en-NZ"/>
        </w:rPr>
        <w:t xml:space="preserve">present on an employer monthly schedule (EMS) on the 15th of the middle month of the reference quarter. Counts of filled jobs are restricted to people aged 15 years and over. </w:t>
      </w:r>
      <w:r w:rsidR="001D3D31" w:rsidRPr="00D624A6">
        <w:rPr>
          <w:rFonts w:cstheme="minorHAnsi"/>
        </w:rPr>
        <w:t>The LEED production system was created in 2005 and since then official statistics have been produced quarterly and annually.</w:t>
      </w:r>
    </w:p>
    <w:p w:rsidR="006F7763" w:rsidRPr="00D624A6" w:rsidRDefault="006F7763" w:rsidP="00D624A6">
      <w:pPr>
        <w:spacing w:after="0"/>
        <w:jc w:val="both"/>
        <w:rPr>
          <w:rFonts w:cstheme="minorHAnsi"/>
        </w:rPr>
      </w:pPr>
    </w:p>
    <w:p w:rsidR="006F7763" w:rsidRPr="00D624A6" w:rsidRDefault="006F7763" w:rsidP="00D624A6">
      <w:pPr>
        <w:pStyle w:val="Heading3"/>
        <w:jc w:val="both"/>
        <w:rPr>
          <w:rFonts w:asciiTheme="minorHAnsi" w:eastAsia="Times New Roman" w:hAnsiTheme="minorHAnsi"/>
          <w:lang w:eastAsia="en-NZ"/>
        </w:rPr>
      </w:pPr>
      <w:r w:rsidRPr="00D624A6">
        <w:rPr>
          <w:rFonts w:asciiTheme="minorHAnsi" w:eastAsia="Times New Roman" w:hAnsiTheme="minorHAnsi"/>
          <w:lang w:eastAsia="en-NZ"/>
        </w:rPr>
        <w:t xml:space="preserve">Issues identified in integrating data sources in LEED </w:t>
      </w:r>
    </w:p>
    <w:p w:rsidR="00F06DF9" w:rsidRPr="00D624A6" w:rsidRDefault="006F7763" w:rsidP="00D624A6">
      <w:pPr>
        <w:pStyle w:val="ListParagraph"/>
        <w:numPr>
          <w:ilvl w:val="0"/>
          <w:numId w:val="7"/>
        </w:numPr>
        <w:spacing w:after="0"/>
        <w:jc w:val="both"/>
        <w:rPr>
          <w:rFonts w:eastAsia="Times New Roman" w:cstheme="minorHAnsi"/>
          <w:lang w:eastAsia="en-NZ"/>
        </w:rPr>
      </w:pPr>
      <w:r w:rsidRPr="00D624A6">
        <w:rPr>
          <w:rFonts w:eastAsia="Times New Roman" w:cstheme="minorHAnsi"/>
          <w:lang w:eastAsia="en-NZ"/>
        </w:rPr>
        <w:t>The need of standardised processes which are responsive to administrative changes in the data supplied and to new administrative data available to Statistics NZ.</w:t>
      </w:r>
      <w:r w:rsidR="00F465C1" w:rsidRPr="00D624A6">
        <w:rPr>
          <w:sz w:val="27"/>
          <w:szCs w:val="27"/>
        </w:rPr>
        <w:t xml:space="preserve"> </w:t>
      </w:r>
      <w:r w:rsidR="00F465C1" w:rsidRPr="00D624A6">
        <w:rPr>
          <w:rFonts w:eastAsia="Times New Roman" w:cstheme="minorHAnsi"/>
          <w:lang w:eastAsia="en-NZ"/>
        </w:rPr>
        <w:t xml:space="preserve">First and foremost, standard software for automated data linkage robust to these changes should be identified. Various evaluations of record linkage software carried out within Statistics NZ led to the choice of QualityStage. </w:t>
      </w:r>
    </w:p>
    <w:p w:rsidR="00F06DF9" w:rsidRPr="00D624A6" w:rsidRDefault="00F06DF9" w:rsidP="00D624A6">
      <w:pPr>
        <w:pStyle w:val="ListParagraph"/>
        <w:numPr>
          <w:ilvl w:val="0"/>
          <w:numId w:val="7"/>
        </w:numPr>
        <w:spacing w:after="0"/>
        <w:jc w:val="both"/>
        <w:rPr>
          <w:rFonts w:eastAsia="Times New Roman" w:cstheme="minorHAnsi"/>
          <w:lang w:eastAsia="en-NZ"/>
        </w:rPr>
      </w:pPr>
      <w:r w:rsidRPr="00D624A6">
        <w:rPr>
          <w:rFonts w:eastAsia="Times New Roman" w:cstheme="minorHAnsi"/>
          <w:lang w:eastAsia="en-NZ"/>
        </w:rPr>
        <w:t>T</w:t>
      </w:r>
      <w:r w:rsidR="006F7763" w:rsidRPr="00D624A6">
        <w:rPr>
          <w:rFonts w:eastAsia="Times New Roman" w:cstheme="minorHAnsi"/>
          <w:lang w:eastAsia="en-NZ"/>
        </w:rPr>
        <w:t xml:space="preserve">iming, unless receipt of data are common and regular. This will always be an issue for linked datasets and for statistics produced from these datasets. An example is where personal income needs to be provided annually in the June quarter. Personal income is an output from one of the HLFS supplements, the NZIS. If new entrants to the workforce are not picked up quickly in the IRD tax data, potential bias may result in personal income reported. Initial research work indicates this is an issue but needs more investigative work. </w:t>
      </w:r>
    </w:p>
    <w:p w:rsidR="006F7763" w:rsidRPr="00D624A6" w:rsidRDefault="006F7763" w:rsidP="00D624A6">
      <w:pPr>
        <w:pStyle w:val="ListParagraph"/>
        <w:numPr>
          <w:ilvl w:val="0"/>
          <w:numId w:val="7"/>
        </w:numPr>
        <w:spacing w:after="0"/>
        <w:jc w:val="both"/>
        <w:rPr>
          <w:rFonts w:eastAsia="Times New Roman" w:cstheme="minorHAnsi"/>
          <w:lang w:eastAsia="en-NZ"/>
        </w:rPr>
      </w:pPr>
      <w:r w:rsidRPr="00D624A6">
        <w:rPr>
          <w:rFonts w:eastAsia="Times New Roman" w:cstheme="minorHAnsi"/>
          <w:lang w:eastAsia="en-NZ"/>
        </w:rPr>
        <w:t xml:space="preserve">A common editing issue with linked datasets is inconsistencies in the records linked. Where inconsistencies occur in records linked from two different data sources, it is important to know which of the two data </w:t>
      </w:r>
      <w:r w:rsidR="00F06DF9" w:rsidRPr="00D624A6">
        <w:rPr>
          <w:rFonts w:eastAsia="Times New Roman" w:cstheme="minorHAnsi"/>
          <w:lang w:eastAsia="en-NZ"/>
        </w:rPr>
        <w:t>s</w:t>
      </w:r>
      <w:r w:rsidRPr="00D624A6">
        <w:rPr>
          <w:rFonts w:eastAsia="Times New Roman" w:cstheme="minorHAnsi"/>
          <w:lang w:eastAsia="en-NZ"/>
        </w:rPr>
        <w:t xml:space="preserve">ources is more reliable. Sometimes, even the order in which the datasets are linked is important in </w:t>
      </w:r>
      <w:r w:rsidR="00F06DF9" w:rsidRPr="00D624A6">
        <w:rPr>
          <w:rFonts w:eastAsia="Times New Roman" w:cstheme="minorHAnsi"/>
          <w:lang w:eastAsia="en-NZ"/>
        </w:rPr>
        <w:t>d</w:t>
      </w:r>
      <w:r w:rsidRPr="00D624A6">
        <w:rPr>
          <w:rFonts w:eastAsia="Times New Roman" w:cstheme="minorHAnsi"/>
          <w:lang w:eastAsia="en-NZ"/>
        </w:rPr>
        <w:t>etermining where an inconsistency arose. It is expected that as the number of datasets being linked together increases, the potential for efficiencies in detecting and treating inconsistencies in records increase as the number of variables increase. However, this may also increase the amount of editing required for the linked datasets. Issues to be addressed by an editing strategy for linked datasets can be summarised by its ability to: edit inconsistencies from the s</w:t>
      </w:r>
      <w:r w:rsidR="00DF452A" w:rsidRPr="00D624A6">
        <w:rPr>
          <w:rFonts w:eastAsia="Times New Roman" w:cstheme="minorHAnsi"/>
          <w:lang w:eastAsia="en-NZ"/>
        </w:rPr>
        <w:t xml:space="preserve">ame unit from different sources, </w:t>
      </w:r>
      <w:r w:rsidRPr="00D624A6">
        <w:rPr>
          <w:rFonts w:eastAsia="Times New Roman" w:cstheme="minorHAnsi"/>
          <w:lang w:eastAsia="en-NZ"/>
        </w:rPr>
        <w:t>treat er</w:t>
      </w:r>
      <w:r w:rsidR="00DF452A" w:rsidRPr="00D624A6">
        <w:rPr>
          <w:rFonts w:eastAsia="Times New Roman" w:cstheme="minorHAnsi"/>
          <w:lang w:eastAsia="en-NZ"/>
        </w:rPr>
        <w:t>r</w:t>
      </w:r>
      <w:r w:rsidRPr="00D624A6">
        <w:rPr>
          <w:rFonts w:eastAsia="Times New Roman" w:cstheme="minorHAnsi"/>
          <w:lang w:eastAsia="en-NZ"/>
        </w:rPr>
        <w:t xml:space="preserve">oneous and missing variables in a record </w:t>
      </w:r>
      <w:r w:rsidR="00DF452A" w:rsidRPr="00D624A6">
        <w:rPr>
          <w:rFonts w:eastAsia="Times New Roman" w:cstheme="minorHAnsi"/>
          <w:lang w:eastAsia="en-NZ"/>
        </w:rPr>
        <w:t xml:space="preserve">and </w:t>
      </w:r>
      <w:r w:rsidRPr="00D624A6">
        <w:rPr>
          <w:rFonts w:eastAsia="Times New Roman" w:cstheme="minorHAnsi"/>
          <w:lang w:eastAsia="en-NZ"/>
        </w:rPr>
        <w:t xml:space="preserve">ensure consistency in variables across a record for a time period and over time. </w:t>
      </w:r>
    </w:p>
    <w:p w:rsidR="006F7763" w:rsidRPr="00D624A6" w:rsidRDefault="006F7763" w:rsidP="00D624A6">
      <w:pPr>
        <w:spacing w:after="0"/>
        <w:jc w:val="both"/>
        <w:rPr>
          <w:rFonts w:cstheme="minorHAnsi"/>
        </w:rPr>
      </w:pPr>
    </w:p>
    <w:p w:rsidR="00F43776" w:rsidRPr="00D624A6" w:rsidRDefault="00F43776" w:rsidP="00D624A6">
      <w:pPr>
        <w:pStyle w:val="Heading2"/>
        <w:jc w:val="both"/>
        <w:rPr>
          <w:rFonts w:asciiTheme="minorHAnsi" w:hAnsiTheme="minorHAnsi"/>
        </w:rPr>
      </w:pPr>
      <w:r w:rsidRPr="00D624A6">
        <w:rPr>
          <w:rFonts w:asciiTheme="minorHAnsi" w:hAnsiTheme="minorHAnsi"/>
        </w:rPr>
        <w:t>Student loans project</w:t>
      </w:r>
    </w:p>
    <w:p w:rsidR="00F61267" w:rsidRPr="00D624A6" w:rsidRDefault="00F43776" w:rsidP="00D624A6">
      <w:pPr>
        <w:pStyle w:val="NormalWeb"/>
        <w:spacing w:before="0" w:beforeAutospacing="0" w:after="0" w:afterAutospacing="0" w:line="276" w:lineRule="auto"/>
        <w:jc w:val="both"/>
        <w:rPr>
          <w:rFonts w:asciiTheme="minorHAnsi" w:hAnsiTheme="minorHAnsi" w:cstheme="minorHAnsi"/>
          <w:sz w:val="22"/>
          <w:szCs w:val="22"/>
        </w:rPr>
      </w:pPr>
      <w:r w:rsidRPr="00D624A6">
        <w:rPr>
          <w:rFonts w:asciiTheme="minorHAnsi" w:hAnsiTheme="minorHAnsi" w:cstheme="minorHAnsi"/>
          <w:sz w:val="22"/>
          <w:szCs w:val="22"/>
        </w:rPr>
        <w:t>The Student Loans project create</w:t>
      </w:r>
      <w:r w:rsidR="009F3C0A" w:rsidRPr="00D624A6">
        <w:rPr>
          <w:rFonts w:asciiTheme="minorHAnsi" w:hAnsiTheme="minorHAnsi" w:cstheme="minorHAnsi"/>
          <w:sz w:val="22"/>
          <w:szCs w:val="22"/>
        </w:rPr>
        <w:t>d</w:t>
      </w:r>
      <w:r w:rsidRPr="00D624A6">
        <w:rPr>
          <w:rFonts w:asciiTheme="minorHAnsi" w:hAnsiTheme="minorHAnsi" w:cstheme="minorHAnsi"/>
          <w:sz w:val="22"/>
          <w:szCs w:val="22"/>
        </w:rPr>
        <w:t xml:space="preserve"> an integrated dataset </w:t>
      </w:r>
      <w:r w:rsidR="001F0411" w:rsidRPr="00D624A6">
        <w:rPr>
          <w:rFonts w:asciiTheme="minorHAnsi" w:hAnsiTheme="minorHAnsi" w:cstheme="minorHAnsi"/>
          <w:sz w:val="22"/>
          <w:szCs w:val="22"/>
        </w:rPr>
        <w:t xml:space="preserve">on student loans and allowance. The dataset </w:t>
      </w:r>
      <w:r w:rsidRPr="00D624A6">
        <w:rPr>
          <w:rFonts w:asciiTheme="minorHAnsi" w:hAnsiTheme="minorHAnsi" w:cstheme="minorHAnsi"/>
          <w:sz w:val="22"/>
          <w:szCs w:val="22"/>
        </w:rPr>
        <w:t>provide</w:t>
      </w:r>
      <w:r w:rsidR="00F61267" w:rsidRPr="00D624A6">
        <w:rPr>
          <w:rFonts w:asciiTheme="minorHAnsi" w:hAnsiTheme="minorHAnsi" w:cstheme="minorHAnsi"/>
          <w:sz w:val="22"/>
          <w:szCs w:val="22"/>
        </w:rPr>
        <w:t>d</w:t>
      </w:r>
      <w:r w:rsidRPr="00D624A6">
        <w:rPr>
          <w:rFonts w:asciiTheme="minorHAnsi" w:hAnsiTheme="minorHAnsi" w:cstheme="minorHAnsi"/>
          <w:sz w:val="22"/>
          <w:szCs w:val="22"/>
        </w:rPr>
        <w:t xml:space="preserve"> new information about the recipients of student loans and allowances</w:t>
      </w:r>
      <w:r w:rsidR="009F3C0A" w:rsidRPr="00D624A6">
        <w:rPr>
          <w:rFonts w:asciiTheme="minorHAnsi" w:hAnsiTheme="minorHAnsi" w:cstheme="minorHAnsi"/>
          <w:sz w:val="22"/>
          <w:szCs w:val="22"/>
        </w:rPr>
        <w:t xml:space="preserve"> (Statistics NZ, 2012b). </w:t>
      </w:r>
      <w:r w:rsidR="00F61267" w:rsidRPr="00D624A6">
        <w:rPr>
          <w:rFonts w:asciiTheme="minorHAnsi" w:hAnsiTheme="minorHAnsi" w:cstheme="minorHAnsi"/>
          <w:sz w:val="22"/>
          <w:szCs w:val="22"/>
        </w:rPr>
        <w:t xml:space="preserve">The integrated dataset assists with understanding the cost of the </w:t>
      </w:r>
      <w:r w:rsidR="00081576" w:rsidRPr="00D624A6">
        <w:rPr>
          <w:rFonts w:asciiTheme="minorHAnsi" w:hAnsiTheme="minorHAnsi" w:cstheme="minorHAnsi"/>
          <w:sz w:val="22"/>
          <w:szCs w:val="22"/>
        </w:rPr>
        <w:t xml:space="preserve">Student Loan Scheme </w:t>
      </w:r>
      <w:r w:rsidR="00F61267" w:rsidRPr="00D624A6">
        <w:rPr>
          <w:rFonts w:asciiTheme="minorHAnsi" w:hAnsiTheme="minorHAnsi" w:cstheme="minorHAnsi"/>
          <w:sz w:val="22"/>
          <w:szCs w:val="22"/>
        </w:rPr>
        <w:t xml:space="preserve">to the Crown, forecasting, reporting of the asset in the Crown Accounts, costing policy changes, and assessing the socio-economic impact of, and the return on, education and more recently, outcomes. </w:t>
      </w:r>
    </w:p>
    <w:p w:rsidR="00F43776" w:rsidRPr="00D624A6" w:rsidRDefault="00F43776" w:rsidP="00D624A6">
      <w:pPr>
        <w:pStyle w:val="NormalWeb"/>
        <w:spacing w:before="240" w:beforeAutospacing="0" w:after="0" w:afterAutospacing="0" w:line="276" w:lineRule="auto"/>
        <w:jc w:val="both"/>
        <w:rPr>
          <w:rFonts w:asciiTheme="minorHAnsi" w:hAnsiTheme="minorHAnsi" w:cstheme="minorHAnsi"/>
          <w:sz w:val="22"/>
          <w:szCs w:val="22"/>
        </w:rPr>
      </w:pPr>
      <w:r w:rsidRPr="00D624A6">
        <w:rPr>
          <w:rFonts w:asciiTheme="minorHAnsi" w:hAnsiTheme="minorHAnsi" w:cstheme="minorHAnsi"/>
          <w:sz w:val="22"/>
          <w:szCs w:val="22"/>
        </w:rPr>
        <w:t>The Student Loan Scheme was introduced in New Zealand in 1992 to provide financial assistance to people enrolled in tertiary study. Statistics NZ created a new statistical information source on student loan borrowers and allowance recipients by integrating, at the unit-record level, administrat</w:t>
      </w:r>
      <w:r w:rsidR="006F414A" w:rsidRPr="00D624A6">
        <w:rPr>
          <w:rFonts w:asciiTheme="minorHAnsi" w:hAnsiTheme="minorHAnsi" w:cstheme="minorHAnsi"/>
          <w:sz w:val="22"/>
          <w:szCs w:val="22"/>
        </w:rPr>
        <w:t>ive data from the following government agencies:</w:t>
      </w:r>
    </w:p>
    <w:p w:rsidR="00F43776" w:rsidRPr="00D624A6" w:rsidRDefault="00F43776" w:rsidP="00D624A6">
      <w:pPr>
        <w:numPr>
          <w:ilvl w:val="0"/>
          <w:numId w:val="10"/>
        </w:numPr>
        <w:spacing w:after="100" w:afterAutospacing="1"/>
        <w:jc w:val="both"/>
        <w:rPr>
          <w:rFonts w:cstheme="minorHAnsi"/>
        </w:rPr>
      </w:pPr>
      <w:r w:rsidRPr="00D624A6">
        <w:rPr>
          <w:rFonts w:cstheme="minorHAnsi"/>
        </w:rPr>
        <w:t>Ministry of Education data on study (</w:t>
      </w:r>
      <w:r w:rsidR="00182535" w:rsidRPr="00D624A6">
        <w:rPr>
          <w:rFonts w:cstheme="minorHAnsi"/>
        </w:rPr>
        <w:t>e.g.</w:t>
      </w:r>
      <w:r w:rsidRPr="00D624A6">
        <w:rPr>
          <w:rFonts w:cstheme="minorHAnsi"/>
        </w:rPr>
        <w:t xml:space="preserve">, field of study, programme of study, type of tertiary provider) </w:t>
      </w:r>
    </w:p>
    <w:p w:rsidR="00F43776" w:rsidRPr="00D624A6" w:rsidRDefault="00F43776" w:rsidP="00D624A6">
      <w:pPr>
        <w:numPr>
          <w:ilvl w:val="0"/>
          <w:numId w:val="10"/>
        </w:numPr>
        <w:spacing w:after="100" w:afterAutospacing="1"/>
        <w:jc w:val="both"/>
        <w:rPr>
          <w:rFonts w:cstheme="minorHAnsi"/>
        </w:rPr>
      </w:pPr>
      <w:r w:rsidRPr="00D624A6">
        <w:rPr>
          <w:rFonts w:cstheme="minorHAnsi"/>
        </w:rPr>
        <w:t>Ministry of Social Development data on loan and allowances (</w:t>
      </w:r>
      <w:r w:rsidR="00182535" w:rsidRPr="00D624A6">
        <w:rPr>
          <w:rFonts w:cstheme="minorHAnsi"/>
        </w:rPr>
        <w:t>e.g.</w:t>
      </w:r>
      <w:r w:rsidRPr="00D624A6">
        <w:rPr>
          <w:rFonts w:cstheme="minorHAnsi"/>
        </w:rPr>
        <w:t xml:space="preserve">, course costs, living costs, interest accrued, student allowance and accommodation benefit, repayments) </w:t>
      </w:r>
    </w:p>
    <w:p w:rsidR="00F43776" w:rsidRPr="00D624A6" w:rsidRDefault="00F43776" w:rsidP="00D624A6">
      <w:pPr>
        <w:numPr>
          <w:ilvl w:val="0"/>
          <w:numId w:val="10"/>
        </w:numPr>
        <w:spacing w:after="100" w:afterAutospacing="1"/>
        <w:jc w:val="both"/>
        <w:rPr>
          <w:rFonts w:cstheme="minorHAnsi"/>
        </w:rPr>
      </w:pPr>
      <w:r w:rsidRPr="00D624A6">
        <w:rPr>
          <w:rFonts w:cstheme="minorHAnsi"/>
        </w:rPr>
        <w:t xml:space="preserve">Inland Revenue data on loans and income (such as loan transfer details, debt outstanding, and income). </w:t>
      </w:r>
    </w:p>
    <w:p w:rsidR="00F43776" w:rsidRPr="00D624A6" w:rsidRDefault="00F43776" w:rsidP="00D624A6">
      <w:pPr>
        <w:pStyle w:val="NormalWeb"/>
        <w:spacing w:before="0" w:beforeAutospacing="0" w:line="276" w:lineRule="auto"/>
        <w:jc w:val="both"/>
        <w:rPr>
          <w:rFonts w:asciiTheme="minorHAnsi" w:hAnsiTheme="minorHAnsi" w:cstheme="minorHAnsi"/>
          <w:sz w:val="22"/>
          <w:szCs w:val="22"/>
        </w:rPr>
      </w:pPr>
      <w:r w:rsidRPr="00D624A6">
        <w:rPr>
          <w:rFonts w:asciiTheme="minorHAnsi" w:hAnsiTheme="minorHAnsi" w:cstheme="minorHAnsi"/>
          <w:sz w:val="22"/>
          <w:szCs w:val="22"/>
        </w:rPr>
        <w:t xml:space="preserve">The </w:t>
      </w:r>
      <w:r w:rsidR="00F61267" w:rsidRPr="00D624A6">
        <w:rPr>
          <w:rFonts w:asciiTheme="minorHAnsi" w:hAnsiTheme="minorHAnsi" w:cstheme="minorHAnsi"/>
          <w:sz w:val="22"/>
          <w:szCs w:val="22"/>
        </w:rPr>
        <w:t xml:space="preserve">student loans and allowance integrated dataset </w:t>
      </w:r>
      <w:r w:rsidRPr="00D624A6">
        <w:rPr>
          <w:rFonts w:asciiTheme="minorHAnsi" w:hAnsiTheme="minorHAnsi" w:cstheme="minorHAnsi"/>
          <w:sz w:val="22"/>
          <w:szCs w:val="22"/>
        </w:rPr>
        <w:t>was created in two stages. The first stage used exact matching to merge source datasets using Inland Revenue client numbers. Education records were then added by probabilistic matching, using the student identification number, the tertiary institution number, and demographic variables. The integrated dataset is updated annually as each year's administrative data becomes available.</w:t>
      </w:r>
    </w:p>
    <w:p w:rsidR="006F414A" w:rsidRPr="00D624A6" w:rsidRDefault="00F43776" w:rsidP="00D624A6">
      <w:pPr>
        <w:spacing w:before="100" w:beforeAutospacing="1" w:after="0"/>
        <w:jc w:val="both"/>
        <w:rPr>
          <w:rFonts w:cstheme="minorHAnsi"/>
        </w:rPr>
      </w:pPr>
      <w:r w:rsidRPr="00D624A6">
        <w:rPr>
          <w:rFonts w:cstheme="minorHAnsi"/>
        </w:rPr>
        <w:lastRenderedPageBreak/>
        <w:t>The first output of the integrated dataset was published in December</w:t>
      </w:r>
      <w:r w:rsidR="001F0411" w:rsidRPr="00D624A6">
        <w:rPr>
          <w:rFonts w:cstheme="minorHAnsi"/>
        </w:rPr>
        <w:t xml:space="preserve"> 2002</w:t>
      </w:r>
      <w:r w:rsidRPr="00D624A6">
        <w:rPr>
          <w:rFonts w:cstheme="minorHAnsi"/>
        </w:rPr>
        <w:t>. Recent releases have focused</w:t>
      </w:r>
      <w:r w:rsidR="006F414A" w:rsidRPr="00D624A6">
        <w:rPr>
          <w:rFonts w:cstheme="minorHAnsi"/>
        </w:rPr>
        <w:t xml:space="preserve"> on:</w:t>
      </w:r>
    </w:p>
    <w:p w:rsidR="006F414A" w:rsidRPr="00D624A6" w:rsidRDefault="006F414A" w:rsidP="00D624A6">
      <w:pPr>
        <w:pStyle w:val="ListParagraph"/>
        <w:numPr>
          <w:ilvl w:val="0"/>
          <w:numId w:val="13"/>
        </w:numPr>
        <w:spacing w:after="0"/>
        <w:jc w:val="both"/>
        <w:rPr>
          <w:rFonts w:eastAsia="Times New Roman" w:cstheme="minorHAnsi"/>
          <w:lang w:eastAsia="en-NZ"/>
        </w:rPr>
      </w:pPr>
      <w:r w:rsidRPr="00D624A6">
        <w:rPr>
          <w:rFonts w:eastAsia="Times New Roman" w:cstheme="minorHAnsi"/>
          <w:lang w:eastAsia="en-NZ"/>
        </w:rPr>
        <w:t xml:space="preserve">male and female borrowing, debt, repayments, and income </w:t>
      </w:r>
    </w:p>
    <w:p w:rsidR="006F414A" w:rsidRPr="00D624A6" w:rsidRDefault="006F414A" w:rsidP="00D624A6">
      <w:pPr>
        <w:pStyle w:val="ListParagraph"/>
        <w:numPr>
          <w:ilvl w:val="0"/>
          <w:numId w:val="13"/>
        </w:numPr>
        <w:spacing w:after="0"/>
        <w:jc w:val="both"/>
        <w:rPr>
          <w:rFonts w:eastAsia="Times New Roman" w:cstheme="minorHAnsi"/>
          <w:lang w:eastAsia="en-NZ"/>
        </w:rPr>
      </w:pPr>
      <w:r w:rsidRPr="00D624A6">
        <w:rPr>
          <w:rFonts w:eastAsia="Times New Roman" w:cstheme="minorHAnsi"/>
          <w:lang w:eastAsia="en-NZ"/>
        </w:rPr>
        <w:t xml:space="preserve">borrowing, debt, and income by age group and ethnicity </w:t>
      </w:r>
    </w:p>
    <w:p w:rsidR="006F414A" w:rsidRPr="00D624A6" w:rsidRDefault="006F414A" w:rsidP="00D624A6">
      <w:pPr>
        <w:pStyle w:val="ListParagraph"/>
        <w:numPr>
          <w:ilvl w:val="0"/>
          <w:numId w:val="13"/>
        </w:numPr>
        <w:spacing w:after="0"/>
        <w:jc w:val="both"/>
        <w:rPr>
          <w:rFonts w:eastAsia="Times New Roman" w:cstheme="minorHAnsi"/>
          <w:lang w:eastAsia="en-NZ"/>
        </w:rPr>
      </w:pPr>
      <w:r w:rsidRPr="00D624A6">
        <w:rPr>
          <w:rFonts w:eastAsia="Times New Roman" w:cstheme="minorHAnsi"/>
          <w:lang w:eastAsia="en-NZ"/>
        </w:rPr>
        <w:t xml:space="preserve">loans and allowances </w:t>
      </w:r>
    </w:p>
    <w:p w:rsidR="001F0411" w:rsidRPr="00D624A6" w:rsidRDefault="006F414A" w:rsidP="00D624A6">
      <w:pPr>
        <w:pStyle w:val="ListParagraph"/>
        <w:numPr>
          <w:ilvl w:val="0"/>
          <w:numId w:val="13"/>
        </w:numPr>
        <w:spacing w:after="0"/>
        <w:jc w:val="both"/>
      </w:pPr>
      <w:r w:rsidRPr="00D624A6">
        <w:rPr>
          <w:rFonts w:eastAsia="Times New Roman" w:cstheme="minorHAnsi"/>
          <w:lang w:eastAsia="en-NZ"/>
        </w:rPr>
        <w:t xml:space="preserve">borrowing, debt, and income of borrowers who completed their qualification compared with those who did not. </w:t>
      </w:r>
    </w:p>
    <w:p w:rsidR="00AC0E59" w:rsidRPr="00D624A6" w:rsidRDefault="00AC0E59" w:rsidP="00D624A6">
      <w:pPr>
        <w:pStyle w:val="ListParagraph"/>
        <w:spacing w:after="0"/>
        <w:ind w:left="774"/>
        <w:jc w:val="both"/>
        <w:rPr>
          <w:rFonts w:eastAsia="Times New Roman" w:cstheme="minorHAnsi"/>
          <w:lang w:eastAsia="en-NZ"/>
        </w:rPr>
      </w:pPr>
    </w:p>
    <w:p w:rsidR="00C0437C" w:rsidRPr="00D624A6" w:rsidRDefault="00AC0E59" w:rsidP="00D624A6">
      <w:pPr>
        <w:jc w:val="both"/>
      </w:pPr>
      <w:r w:rsidRPr="00D624A6">
        <w:rPr>
          <w:rFonts w:eastAsia="Times New Roman" w:cstheme="minorHAnsi"/>
          <w:lang w:eastAsia="en-NZ"/>
        </w:rPr>
        <w:t>The Student Loans integration project faced similar issues with the LEED project.</w:t>
      </w:r>
      <w:r w:rsidR="00AF1E3A" w:rsidRPr="00D624A6">
        <w:rPr>
          <w:rFonts w:eastAsia="Times New Roman" w:cstheme="minorHAnsi"/>
          <w:lang w:eastAsia="en-NZ"/>
        </w:rPr>
        <w:t xml:space="preserve"> These two projects</w:t>
      </w:r>
      <w:r w:rsidR="00AA0340" w:rsidRPr="00D624A6">
        <w:rPr>
          <w:rFonts w:eastAsia="Times New Roman" w:cstheme="minorHAnsi"/>
          <w:lang w:eastAsia="en-NZ"/>
        </w:rPr>
        <w:t xml:space="preserve"> </w:t>
      </w:r>
      <w:r w:rsidR="009D2CD9" w:rsidRPr="00D624A6">
        <w:rPr>
          <w:rFonts w:eastAsia="Times New Roman" w:cstheme="minorHAnsi"/>
          <w:lang w:eastAsia="en-NZ"/>
        </w:rPr>
        <w:t>spearheaded</w:t>
      </w:r>
      <w:r w:rsidR="00AA0340" w:rsidRPr="00D624A6">
        <w:rPr>
          <w:rFonts w:eastAsia="Times New Roman" w:cstheme="minorHAnsi"/>
          <w:lang w:eastAsia="en-NZ"/>
        </w:rPr>
        <w:t xml:space="preserve"> the consideration of the quality of administrative data in the production of official statistics. </w:t>
      </w:r>
      <w:r w:rsidR="009D2CD9" w:rsidRPr="00D624A6">
        <w:rPr>
          <w:rFonts w:eastAsia="Times New Roman" w:cstheme="minorHAnsi"/>
          <w:lang w:eastAsia="en-NZ"/>
        </w:rPr>
        <w:t>A</w:t>
      </w:r>
      <w:r w:rsidR="00AA0340" w:rsidRPr="00D624A6">
        <w:rPr>
          <w:rFonts w:eastAsia="Times New Roman" w:cstheme="minorHAnsi"/>
          <w:lang w:eastAsia="en-NZ"/>
        </w:rPr>
        <w:t xml:space="preserve"> metadata information templ</w:t>
      </w:r>
      <w:r w:rsidR="009D2CD9" w:rsidRPr="00D624A6">
        <w:rPr>
          <w:rFonts w:eastAsia="Times New Roman" w:cstheme="minorHAnsi"/>
          <w:lang w:eastAsia="en-NZ"/>
        </w:rPr>
        <w:t xml:space="preserve">ate was </w:t>
      </w:r>
      <w:r w:rsidR="00C0437C" w:rsidRPr="00D624A6">
        <w:rPr>
          <w:rFonts w:eastAsia="Times New Roman" w:cstheme="minorHAnsi"/>
          <w:lang w:eastAsia="en-NZ"/>
        </w:rPr>
        <w:t>developed</w:t>
      </w:r>
      <w:r w:rsidR="009D2CD9" w:rsidRPr="00D624A6">
        <w:rPr>
          <w:rFonts w:eastAsia="Times New Roman" w:cstheme="minorHAnsi"/>
          <w:lang w:eastAsia="en-NZ"/>
        </w:rPr>
        <w:t xml:space="preserve"> to initially assess the information provided by the administrative data sources.</w:t>
      </w:r>
      <w:r w:rsidR="00E638FB" w:rsidRPr="00D624A6">
        <w:rPr>
          <w:rFonts w:eastAsia="Times New Roman" w:cstheme="minorHAnsi"/>
          <w:lang w:eastAsia="en-NZ"/>
        </w:rPr>
        <w:t xml:space="preserve"> </w:t>
      </w:r>
      <w:r w:rsidR="00C0437C" w:rsidRPr="00D624A6">
        <w:t xml:space="preserve">The template was </w:t>
      </w:r>
      <w:r w:rsidR="00E638FB" w:rsidRPr="00D624A6">
        <w:t xml:space="preserve">designed to be independent of the intended use of the </w:t>
      </w:r>
      <w:r w:rsidR="00C0437C" w:rsidRPr="00D624A6">
        <w:t xml:space="preserve">data </w:t>
      </w:r>
      <w:r w:rsidR="00E638FB" w:rsidRPr="00D624A6">
        <w:t xml:space="preserve">source. The information it includes can be used to make an initial decision about whether the source has the potential to meet a particular </w:t>
      </w:r>
      <w:r w:rsidR="00C0437C" w:rsidRPr="00D624A6">
        <w:t xml:space="preserve">statistical </w:t>
      </w:r>
      <w:r w:rsidR="00E638FB" w:rsidRPr="00D624A6">
        <w:t xml:space="preserve">need. This type of template can also provide a list of potential quality problems which could be investigated in more detail with a particular statistical use in mind. </w:t>
      </w:r>
      <w:r w:rsidR="00C0437C" w:rsidRPr="00D624A6">
        <w:t>The fields included in the template are shown in Table 1.</w:t>
      </w:r>
    </w:p>
    <w:tbl>
      <w:tblPr>
        <w:tblW w:w="10548" w:type="dxa"/>
        <w:tblLook w:val="04A0" w:firstRow="1" w:lastRow="0" w:firstColumn="1" w:lastColumn="0" w:noHBand="0" w:noVBand="1"/>
      </w:tblPr>
      <w:tblGrid>
        <w:gridCol w:w="3528"/>
        <w:gridCol w:w="7020"/>
      </w:tblGrid>
      <w:tr w:rsidR="00C0437C" w:rsidRPr="00D624A6" w:rsidTr="00AB22AD">
        <w:trPr>
          <w:trHeight w:val="300"/>
        </w:trPr>
        <w:tc>
          <w:tcPr>
            <w:tcW w:w="3528" w:type="dxa"/>
            <w:tcBorders>
              <w:top w:val="single" w:sz="4" w:space="0" w:color="auto"/>
              <w:left w:val="single" w:sz="4" w:space="0" w:color="auto"/>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cstheme="minorHAnsi"/>
              </w:rPr>
              <w:br w:type="page"/>
            </w:r>
            <w:r w:rsidRPr="00D624A6">
              <w:rPr>
                <w:rFonts w:eastAsia="Times New Roman" w:cstheme="minorHAnsi"/>
                <w:color w:val="000000"/>
                <w:lang w:eastAsia="en-NZ"/>
              </w:rPr>
              <w:t>Data Source</w:t>
            </w:r>
          </w:p>
        </w:tc>
        <w:tc>
          <w:tcPr>
            <w:tcW w:w="7020" w:type="dxa"/>
            <w:tcBorders>
              <w:top w:val="single" w:sz="4" w:space="0" w:color="auto"/>
              <w:left w:val="nil"/>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Name of agency</w:t>
            </w:r>
          </w:p>
        </w:tc>
      </w:tr>
      <w:tr w:rsidR="00C0437C" w:rsidRPr="00D624A6" w:rsidTr="00AB22AD">
        <w:trPr>
          <w:trHeight w:val="300"/>
        </w:trPr>
        <w:tc>
          <w:tcPr>
            <w:tcW w:w="3528" w:type="dxa"/>
            <w:tcBorders>
              <w:top w:val="nil"/>
              <w:left w:val="single" w:sz="4" w:space="0" w:color="auto"/>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 </w:t>
            </w:r>
          </w:p>
        </w:tc>
        <w:tc>
          <w:tcPr>
            <w:tcW w:w="7020" w:type="dxa"/>
            <w:tcBorders>
              <w:top w:val="nil"/>
              <w:left w:val="nil"/>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Application of data</w:t>
            </w:r>
          </w:p>
        </w:tc>
      </w:tr>
      <w:tr w:rsidR="00C0437C" w:rsidRPr="00D624A6" w:rsidTr="00AB22AD">
        <w:trPr>
          <w:trHeight w:val="300"/>
        </w:trPr>
        <w:tc>
          <w:tcPr>
            <w:tcW w:w="3528" w:type="dxa"/>
            <w:tcBorders>
              <w:top w:val="nil"/>
              <w:left w:val="single" w:sz="4" w:space="0" w:color="auto"/>
              <w:bottom w:val="single" w:sz="4" w:space="0" w:color="auto"/>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 </w:t>
            </w:r>
          </w:p>
        </w:tc>
        <w:tc>
          <w:tcPr>
            <w:tcW w:w="7020" w:type="dxa"/>
            <w:tcBorders>
              <w:top w:val="nil"/>
              <w:left w:val="nil"/>
              <w:bottom w:val="single" w:sz="4" w:space="0" w:color="auto"/>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High level summary of time period, variables, file structure</w:t>
            </w:r>
          </w:p>
        </w:tc>
      </w:tr>
      <w:tr w:rsidR="00C0437C" w:rsidRPr="00D624A6" w:rsidTr="00AB22AD">
        <w:trPr>
          <w:trHeight w:val="300"/>
        </w:trPr>
        <w:tc>
          <w:tcPr>
            <w:tcW w:w="3528" w:type="dxa"/>
            <w:tcBorders>
              <w:top w:val="nil"/>
              <w:left w:val="single" w:sz="4" w:space="0" w:color="auto"/>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Population</w:t>
            </w:r>
          </w:p>
        </w:tc>
        <w:tc>
          <w:tcPr>
            <w:tcW w:w="7020" w:type="dxa"/>
            <w:tcBorders>
              <w:top w:val="nil"/>
              <w:left w:val="nil"/>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Target and actual population</w:t>
            </w:r>
          </w:p>
        </w:tc>
      </w:tr>
      <w:tr w:rsidR="00C0437C" w:rsidRPr="00D624A6" w:rsidTr="00AB22AD">
        <w:trPr>
          <w:trHeight w:val="300"/>
        </w:trPr>
        <w:tc>
          <w:tcPr>
            <w:tcW w:w="3528" w:type="dxa"/>
            <w:tcBorders>
              <w:top w:val="nil"/>
              <w:left w:val="single" w:sz="4" w:space="0" w:color="auto"/>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 </w:t>
            </w:r>
          </w:p>
        </w:tc>
        <w:tc>
          <w:tcPr>
            <w:tcW w:w="7020" w:type="dxa"/>
            <w:tcBorders>
              <w:top w:val="nil"/>
              <w:left w:val="nil"/>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Reporting units</w:t>
            </w:r>
          </w:p>
        </w:tc>
      </w:tr>
      <w:tr w:rsidR="00C0437C" w:rsidRPr="00D624A6" w:rsidTr="00AB22AD">
        <w:trPr>
          <w:trHeight w:val="300"/>
        </w:trPr>
        <w:tc>
          <w:tcPr>
            <w:tcW w:w="3528" w:type="dxa"/>
            <w:tcBorders>
              <w:top w:val="nil"/>
              <w:left w:val="single" w:sz="4" w:space="0" w:color="auto"/>
              <w:bottom w:val="single" w:sz="4" w:space="0" w:color="auto"/>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 </w:t>
            </w:r>
          </w:p>
        </w:tc>
        <w:tc>
          <w:tcPr>
            <w:tcW w:w="7020" w:type="dxa"/>
            <w:tcBorders>
              <w:top w:val="nil"/>
              <w:left w:val="nil"/>
              <w:bottom w:val="single" w:sz="4" w:space="0" w:color="auto"/>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Coverage</w:t>
            </w:r>
          </w:p>
        </w:tc>
      </w:tr>
      <w:tr w:rsidR="00C0437C" w:rsidRPr="00D624A6" w:rsidTr="00AB22AD">
        <w:trPr>
          <w:trHeight w:val="300"/>
        </w:trPr>
        <w:tc>
          <w:tcPr>
            <w:tcW w:w="3528" w:type="dxa"/>
            <w:tcBorders>
              <w:top w:val="nil"/>
              <w:left w:val="single" w:sz="4" w:space="0" w:color="auto"/>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Variables</w:t>
            </w:r>
          </w:p>
        </w:tc>
        <w:tc>
          <w:tcPr>
            <w:tcW w:w="7020" w:type="dxa"/>
            <w:tcBorders>
              <w:top w:val="nil"/>
              <w:left w:val="nil"/>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Name</w:t>
            </w:r>
          </w:p>
        </w:tc>
      </w:tr>
      <w:tr w:rsidR="00C0437C" w:rsidRPr="00D624A6" w:rsidTr="00AB22AD">
        <w:trPr>
          <w:trHeight w:val="300"/>
        </w:trPr>
        <w:tc>
          <w:tcPr>
            <w:tcW w:w="3528" w:type="dxa"/>
            <w:tcBorders>
              <w:top w:val="nil"/>
              <w:left w:val="single" w:sz="4" w:space="0" w:color="auto"/>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 </w:t>
            </w:r>
          </w:p>
        </w:tc>
        <w:tc>
          <w:tcPr>
            <w:tcW w:w="7020" w:type="dxa"/>
            <w:tcBorders>
              <w:top w:val="nil"/>
              <w:left w:val="nil"/>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Definition</w:t>
            </w:r>
          </w:p>
        </w:tc>
      </w:tr>
      <w:tr w:rsidR="00C0437C" w:rsidRPr="00D624A6" w:rsidTr="00AB22AD">
        <w:trPr>
          <w:trHeight w:val="300"/>
        </w:trPr>
        <w:tc>
          <w:tcPr>
            <w:tcW w:w="3528" w:type="dxa"/>
            <w:tcBorders>
              <w:top w:val="nil"/>
              <w:left w:val="single" w:sz="4" w:space="0" w:color="auto"/>
              <w:bottom w:val="single" w:sz="4" w:space="0" w:color="auto"/>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 </w:t>
            </w:r>
          </w:p>
        </w:tc>
        <w:tc>
          <w:tcPr>
            <w:tcW w:w="7020" w:type="dxa"/>
            <w:tcBorders>
              <w:top w:val="nil"/>
              <w:left w:val="nil"/>
              <w:bottom w:val="single" w:sz="4" w:space="0" w:color="auto"/>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Values</w:t>
            </w:r>
          </w:p>
        </w:tc>
      </w:tr>
      <w:tr w:rsidR="00C0437C" w:rsidRPr="00D624A6" w:rsidTr="00AB22AD">
        <w:trPr>
          <w:trHeight w:val="300"/>
        </w:trPr>
        <w:tc>
          <w:tcPr>
            <w:tcW w:w="3528" w:type="dxa"/>
            <w:tcBorders>
              <w:top w:val="nil"/>
              <w:left w:val="single" w:sz="4" w:space="0" w:color="auto"/>
              <w:bottom w:val="single" w:sz="4" w:space="0" w:color="auto"/>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Glossary</w:t>
            </w:r>
          </w:p>
        </w:tc>
        <w:tc>
          <w:tcPr>
            <w:tcW w:w="7020" w:type="dxa"/>
            <w:tcBorders>
              <w:top w:val="nil"/>
              <w:left w:val="nil"/>
              <w:bottom w:val="single" w:sz="4" w:space="0" w:color="auto"/>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Definitions of terms used</w:t>
            </w:r>
          </w:p>
        </w:tc>
      </w:tr>
      <w:tr w:rsidR="00C0437C" w:rsidRPr="00D624A6" w:rsidTr="00AB22AD">
        <w:trPr>
          <w:trHeight w:val="300"/>
        </w:trPr>
        <w:tc>
          <w:tcPr>
            <w:tcW w:w="3528" w:type="dxa"/>
            <w:tcBorders>
              <w:top w:val="nil"/>
              <w:left w:val="single" w:sz="4" w:space="0" w:color="auto"/>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File Structure</w:t>
            </w:r>
          </w:p>
        </w:tc>
        <w:tc>
          <w:tcPr>
            <w:tcW w:w="7020" w:type="dxa"/>
            <w:tcBorders>
              <w:top w:val="nil"/>
              <w:left w:val="nil"/>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Conceptual</w:t>
            </w:r>
          </w:p>
        </w:tc>
      </w:tr>
      <w:tr w:rsidR="00C0437C" w:rsidRPr="00D624A6" w:rsidTr="00AB22AD">
        <w:trPr>
          <w:trHeight w:val="300"/>
        </w:trPr>
        <w:tc>
          <w:tcPr>
            <w:tcW w:w="3528" w:type="dxa"/>
            <w:tcBorders>
              <w:top w:val="nil"/>
              <w:left w:val="single" w:sz="4" w:space="0" w:color="auto"/>
              <w:bottom w:val="single" w:sz="4" w:space="0" w:color="auto"/>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 </w:t>
            </w:r>
          </w:p>
        </w:tc>
        <w:tc>
          <w:tcPr>
            <w:tcW w:w="7020" w:type="dxa"/>
            <w:tcBorders>
              <w:top w:val="nil"/>
              <w:left w:val="nil"/>
              <w:bottom w:val="single" w:sz="4" w:space="0" w:color="auto"/>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IT</w:t>
            </w:r>
          </w:p>
        </w:tc>
      </w:tr>
      <w:tr w:rsidR="00C0437C" w:rsidRPr="00D624A6" w:rsidTr="00AB22AD">
        <w:trPr>
          <w:trHeight w:val="300"/>
        </w:trPr>
        <w:tc>
          <w:tcPr>
            <w:tcW w:w="3528" w:type="dxa"/>
            <w:tcBorders>
              <w:top w:val="nil"/>
              <w:left w:val="single" w:sz="4" w:space="0" w:color="auto"/>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Data collection and data entry</w:t>
            </w:r>
          </w:p>
        </w:tc>
        <w:tc>
          <w:tcPr>
            <w:tcW w:w="7020" w:type="dxa"/>
            <w:tcBorders>
              <w:top w:val="nil"/>
              <w:left w:val="nil"/>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Application</w:t>
            </w:r>
          </w:p>
        </w:tc>
      </w:tr>
      <w:tr w:rsidR="00C0437C" w:rsidRPr="00D624A6" w:rsidTr="00AB22AD">
        <w:trPr>
          <w:trHeight w:val="300"/>
        </w:trPr>
        <w:tc>
          <w:tcPr>
            <w:tcW w:w="3528" w:type="dxa"/>
            <w:tcBorders>
              <w:top w:val="nil"/>
              <w:left w:val="single" w:sz="4" w:space="0" w:color="auto"/>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 </w:t>
            </w:r>
          </w:p>
        </w:tc>
        <w:tc>
          <w:tcPr>
            <w:tcW w:w="7020" w:type="dxa"/>
            <w:tcBorders>
              <w:top w:val="nil"/>
              <w:left w:val="nil"/>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Collection method</w:t>
            </w:r>
          </w:p>
        </w:tc>
      </w:tr>
      <w:tr w:rsidR="00C0437C" w:rsidRPr="00D624A6" w:rsidTr="00AB22AD">
        <w:trPr>
          <w:trHeight w:val="300"/>
        </w:trPr>
        <w:tc>
          <w:tcPr>
            <w:tcW w:w="3528" w:type="dxa"/>
            <w:tcBorders>
              <w:top w:val="nil"/>
              <w:left w:val="single" w:sz="4" w:space="0" w:color="auto"/>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 </w:t>
            </w:r>
          </w:p>
        </w:tc>
        <w:tc>
          <w:tcPr>
            <w:tcW w:w="7020" w:type="dxa"/>
            <w:tcBorders>
              <w:top w:val="nil"/>
              <w:left w:val="nil"/>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Frequency and timing of collection</w:t>
            </w:r>
          </w:p>
        </w:tc>
      </w:tr>
      <w:tr w:rsidR="00C0437C" w:rsidRPr="00D624A6" w:rsidTr="00AB22AD">
        <w:trPr>
          <w:trHeight w:val="300"/>
        </w:trPr>
        <w:tc>
          <w:tcPr>
            <w:tcW w:w="3528" w:type="dxa"/>
            <w:tcBorders>
              <w:top w:val="nil"/>
              <w:left w:val="single" w:sz="4" w:space="0" w:color="auto"/>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 </w:t>
            </w:r>
          </w:p>
        </w:tc>
        <w:tc>
          <w:tcPr>
            <w:tcW w:w="7020" w:type="dxa"/>
            <w:tcBorders>
              <w:top w:val="nil"/>
              <w:left w:val="nil"/>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Consistent approach (over different centres)</w:t>
            </w:r>
          </w:p>
        </w:tc>
      </w:tr>
      <w:tr w:rsidR="00C0437C" w:rsidRPr="00D624A6" w:rsidTr="00AB22AD">
        <w:trPr>
          <w:trHeight w:val="300"/>
        </w:trPr>
        <w:tc>
          <w:tcPr>
            <w:tcW w:w="3528" w:type="dxa"/>
            <w:tcBorders>
              <w:top w:val="nil"/>
              <w:left w:val="single" w:sz="4" w:space="0" w:color="auto"/>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 </w:t>
            </w:r>
          </w:p>
        </w:tc>
        <w:tc>
          <w:tcPr>
            <w:tcW w:w="7020" w:type="dxa"/>
            <w:tcBorders>
              <w:top w:val="nil"/>
              <w:left w:val="nil"/>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Question adequacy and respondent understanding</w:t>
            </w:r>
          </w:p>
        </w:tc>
      </w:tr>
      <w:tr w:rsidR="00C0437C" w:rsidRPr="00D624A6" w:rsidTr="00AB22AD">
        <w:trPr>
          <w:trHeight w:val="300"/>
        </w:trPr>
        <w:tc>
          <w:tcPr>
            <w:tcW w:w="3528" w:type="dxa"/>
            <w:tcBorders>
              <w:top w:val="nil"/>
              <w:left w:val="single" w:sz="4" w:space="0" w:color="auto"/>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 </w:t>
            </w:r>
          </w:p>
        </w:tc>
        <w:tc>
          <w:tcPr>
            <w:tcW w:w="7020" w:type="dxa"/>
            <w:tcBorders>
              <w:top w:val="nil"/>
              <w:left w:val="nil"/>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Contextual or methodological biases</w:t>
            </w:r>
          </w:p>
        </w:tc>
      </w:tr>
      <w:tr w:rsidR="00C0437C" w:rsidRPr="00D624A6" w:rsidTr="00AB22AD">
        <w:trPr>
          <w:trHeight w:val="300"/>
        </w:trPr>
        <w:tc>
          <w:tcPr>
            <w:tcW w:w="3528" w:type="dxa"/>
            <w:tcBorders>
              <w:top w:val="nil"/>
              <w:left w:val="single" w:sz="4" w:space="0" w:color="auto"/>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 </w:t>
            </w:r>
          </w:p>
        </w:tc>
        <w:tc>
          <w:tcPr>
            <w:tcW w:w="7020" w:type="dxa"/>
            <w:tcBorders>
              <w:top w:val="nil"/>
              <w:left w:val="nil"/>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Data capture, coding and editing</w:t>
            </w:r>
          </w:p>
        </w:tc>
      </w:tr>
      <w:tr w:rsidR="00C0437C" w:rsidRPr="00D624A6" w:rsidTr="00AB22AD">
        <w:trPr>
          <w:trHeight w:val="300"/>
        </w:trPr>
        <w:tc>
          <w:tcPr>
            <w:tcW w:w="3528" w:type="dxa"/>
            <w:tcBorders>
              <w:top w:val="nil"/>
              <w:left w:val="single" w:sz="4" w:space="0" w:color="auto"/>
              <w:bottom w:val="single" w:sz="4" w:space="0" w:color="auto"/>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 </w:t>
            </w:r>
          </w:p>
        </w:tc>
        <w:tc>
          <w:tcPr>
            <w:tcW w:w="7020" w:type="dxa"/>
            <w:tcBorders>
              <w:top w:val="nil"/>
              <w:left w:val="nil"/>
              <w:bottom w:val="single" w:sz="4" w:space="0" w:color="auto"/>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Updating procedures</w:t>
            </w:r>
          </w:p>
        </w:tc>
      </w:tr>
      <w:tr w:rsidR="00C0437C" w:rsidRPr="00D624A6" w:rsidTr="00AB22AD">
        <w:trPr>
          <w:trHeight w:val="300"/>
        </w:trPr>
        <w:tc>
          <w:tcPr>
            <w:tcW w:w="3528" w:type="dxa"/>
            <w:tcBorders>
              <w:top w:val="nil"/>
              <w:left w:val="single" w:sz="4" w:space="0" w:color="auto"/>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Data Accuracy</w:t>
            </w:r>
          </w:p>
        </w:tc>
        <w:tc>
          <w:tcPr>
            <w:tcW w:w="7020" w:type="dxa"/>
            <w:tcBorders>
              <w:top w:val="nil"/>
              <w:left w:val="nil"/>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Missing data</w:t>
            </w:r>
          </w:p>
        </w:tc>
      </w:tr>
      <w:tr w:rsidR="00C0437C" w:rsidRPr="00D624A6" w:rsidTr="00AB22AD">
        <w:trPr>
          <w:trHeight w:val="300"/>
        </w:trPr>
        <w:tc>
          <w:tcPr>
            <w:tcW w:w="3528" w:type="dxa"/>
            <w:tcBorders>
              <w:top w:val="nil"/>
              <w:left w:val="single" w:sz="4" w:space="0" w:color="auto"/>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 </w:t>
            </w:r>
          </w:p>
        </w:tc>
        <w:tc>
          <w:tcPr>
            <w:tcW w:w="7020" w:type="dxa"/>
            <w:tcBorders>
              <w:top w:val="nil"/>
              <w:left w:val="nil"/>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Imputation</w:t>
            </w:r>
          </w:p>
        </w:tc>
      </w:tr>
      <w:tr w:rsidR="00C0437C" w:rsidRPr="00D624A6" w:rsidTr="00AB22AD">
        <w:trPr>
          <w:trHeight w:val="300"/>
        </w:trPr>
        <w:tc>
          <w:tcPr>
            <w:tcW w:w="3528" w:type="dxa"/>
            <w:tcBorders>
              <w:top w:val="nil"/>
              <w:left w:val="single" w:sz="4" w:space="0" w:color="auto"/>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 </w:t>
            </w:r>
          </w:p>
        </w:tc>
        <w:tc>
          <w:tcPr>
            <w:tcW w:w="7020" w:type="dxa"/>
            <w:tcBorders>
              <w:top w:val="nil"/>
              <w:left w:val="nil"/>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Duplication</w:t>
            </w:r>
          </w:p>
        </w:tc>
      </w:tr>
      <w:tr w:rsidR="00C0437C" w:rsidRPr="00D624A6" w:rsidTr="00AB22AD">
        <w:trPr>
          <w:trHeight w:val="300"/>
        </w:trPr>
        <w:tc>
          <w:tcPr>
            <w:tcW w:w="3528" w:type="dxa"/>
            <w:tcBorders>
              <w:top w:val="nil"/>
              <w:left w:val="single" w:sz="4" w:space="0" w:color="auto"/>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 </w:t>
            </w:r>
          </w:p>
        </w:tc>
        <w:tc>
          <w:tcPr>
            <w:tcW w:w="7020" w:type="dxa"/>
            <w:tcBorders>
              <w:top w:val="nil"/>
              <w:left w:val="nil"/>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Rounding</w:t>
            </w:r>
          </w:p>
        </w:tc>
      </w:tr>
      <w:tr w:rsidR="00C0437C" w:rsidRPr="00D624A6" w:rsidTr="00AB22AD">
        <w:trPr>
          <w:trHeight w:val="300"/>
        </w:trPr>
        <w:tc>
          <w:tcPr>
            <w:tcW w:w="3528" w:type="dxa"/>
            <w:tcBorders>
              <w:top w:val="nil"/>
              <w:left w:val="single" w:sz="4" w:space="0" w:color="auto"/>
              <w:bottom w:val="single" w:sz="4" w:space="0" w:color="auto"/>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 </w:t>
            </w:r>
          </w:p>
        </w:tc>
        <w:tc>
          <w:tcPr>
            <w:tcW w:w="7020" w:type="dxa"/>
            <w:tcBorders>
              <w:top w:val="nil"/>
              <w:left w:val="nil"/>
              <w:bottom w:val="single" w:sz="4" w:space="0" w:color="auto"/>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Internal consistency</w:t>
            </w:r>
          </w:p>
        </w:tc>
      </w:tr>
      <w:tr w:rsidR="00C0437C" w:rsidRPr="00D624A6" w:rsidTr="00AB22AD">
        <w:trPr>
          <w:trHeight w:val="300"/>
        </w:trPr>
        <w:tc>
          <w:tcPr>
            <w:tcW w:w="3528" w:type="dxa"/>
            <w:tcBorders>
              <w:top w:val="nil"/>
              <w:left w:val="single" w:sz="4" w:space="0" w:color="auto"/>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Changes over time in:</w:t>
            </w:r>
          </w:p>
        </w:tc>
        <w:tc>
          <w:tcPr>
            <w:tcW w:w="7020" w:type="dxa"/>
            <w:tcBorders>
              <w:top w:val="nil"/>
              <w:left w:val="nil"/>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Concepts</w:t>
            </w:r>
          </w:p>
        </w:tc>
      </w:tr>
      <w:tr w:rsidR="00C0437C" w:rsidRPr="00D624A6" w:rsidTr="00AB22AD">
        <w:trPr>
          <w:trHeight w:val="300"/>
        </w:trPr>
        <w:tc>
          <w:tcPr>
            <w:tcW w:w="3528" w:type="dxa"/>
            <w:tcBorders>
              <w:top w:val="nil"/>
              <w:left w:val="single" w:sz="4" w:space="0" w:color="auto"/>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 </w:t>
            </w:r>
          </w:p>
        </w:tc>
        <w:tc>
          <w:tcPr>
            <w:tcW w:w="7020" w:type="dxa"/>
            <w:tcBorders>
              <w:top w:val="nil"/>
              <w:left w:val="nil"/>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Coverage</w:t>
            </w:r>
          </w:p>
        </w:tc>
      </w:tr>
      <w:tr w:rsidR="00C0437C" w:rsidRPr="00D624A6" w:rsidTr="00AB22AD">
        <w:trPr>
          <w:trHeight w:val="300"/>
        </w:trPr>
        <w:tc>
          <w:tcPr>
            <w:tcW w:w="3528" w:type="dxa"/>
            <w:tcBorders>
              <w:top w:val="nil"/>
              <w:left w:val="single" w:sz="4" w:space="0" w:color="auto"/>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 </w:t>
            </w:r>
          </w:p>
        </w:tc>
        <w:tc>
          <w:tcPr>
            <w:tcW w:w="7020" w:type="dxa"/>
            <w:tcBorders>
              <w:top w:val="nil"/>
              <w:left w:val="nil"/>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Data collection and data entry</w:t>
            </w:r>
          </w:p>
        </w:tc>
      </w:tr>
      <w:tr w:rsidR="00C0437C" w:rsidRPr="00D624A6" w:rsidTr="00AB22AD">
        <w:trPr>
          <w:trHeight w:val="300"/>
        </w:trPr>
        <w:tc>
          <w:tcPr>
            <w:tcW w:w="3528" w:type="dxa"/>
            <w:tcBorders>
              <w:top w:val="nil"/>
              <w:left w:val="single" w:sz="4" w:space="0" w:color="auto"/>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 </w:t>
            </w:r>
          </w:p>
        </w:tc>
        <w:tc>
          <w:tcPr>
            <w:tcW w:w="7020" w:type="dxa"/>
            <w:tcBorders>
              <w:top w:val="nil"/>
              <w:left w:val="nil"/>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Data accuracy</w:t>
            </w:r>
          </w:p>
        </w:tc>
      </w:tr>
      <w:tr w:rsidR="00C0437C" w:rsidRPr="00D624A6" w:rsidTr="00AB22AD">
        <w:trPr>
          <w:trHeight w:val="300"/>
        </w:trPr>
        <w:tc>
          <w:tcPr>
            <w:tcW w:w="3528" w:type="dxa"/>
            <w:tcBorders>
              <w:top w:val="single" w:sz="4" w:space="0" w:color="auto"/>
              <w:left w:val="single" w:sz="4" w:space="0" w:color="auto"/>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Accessibility</w:t>
            </w:r>
          </w:p>
        </w:tc>
        <w:tc>
          <w:tcPr>
            <w:tcW w:w="7020" w:type="dxa"/>
            <w:tcBorders>
              <w:top w:val="single" w:sz="4" w:space="0" w:color="auto"/>
              <w:left w:val="nil"/>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Privacy/security/confidentiality</w:t>
            </w:r>
          </w:p>
        </w:tc>
      </w:tr>
      <w:tr w:rsidR="00C0437C" w:rsidRPr="00D624A6" w:rsidTr="00AB22AD">
        <w:trPr>
          <w:trHeight w:val="300"/>
        </w:trPr>
        <w:tc>
          <w:tcPr>
            <w:tcW w:w="3528" w:type="dxa"/>
            <w:tcBorders>
              <w:top w:val="nil"/>
              <w:left w:val="single" w:sz="4" w:space="0" w:color="auto"/>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 </w:t>
            </w:r>
          </w:p>
        </w:tc>
        <w:tc>
          <w:tcPr>
            <w:tcW w:w="7020" w:type="dxa"/>
            <w:tcBorders>
              <w:top w:val="nil"/>
              <w:left w:val="nil"/>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Documentation available</w:t>
            </w:r>
          </w:p>
        </w:tc>
      </w:tr>
      <w:tr w:rsidR="00C0437C" w:rsidRPr="00D624A6" w:rsidTr="00AB22AD">
        <w:trPr>
          <w:trHeight w:val="300"/>
        </w:trPr>
        <w:tc>
          <w:tcPr>
            <w:tcW w:w="3528" w:type="dxa"/>
            <w:tcBorders>
              <w:top w:val="nil"/>
              <w:left w:val="single" w:sz="4" w:space="0" w:color="auto"/>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 </w:t>
            </w:r>
          </w:p>
        </w:tc>
        <w:tc>
          <w:tcPr>
            <w:tcW w:w="7020" w:type="dxa"/>
            <w:tcBorders>
              <w:top w:val="nil"/>
              <w:left w:val="nil"/>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Ease of access</w:t>
            </w:r>
          </w:p>
        </w:tc>
      </w:tr>
      <w:tr w:rsidR="00C0437C" w:rsidRPr="00D624A6" w:rsidTr="00AB22AD">
        <w:trPr>
          <w:trHeight w:val="300"/>
        </w:trPr>
        <w:tc>
          <w:tcPr>
            <w:tcW w:w="3528" w:type="dxa"/>
            <w:tcBorders>
              <w:top w:val="nil"/>
              <w:left w:val="single" w:sz="4" w:space="0" w:color="auto"/>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lastRenderedPageBreak/>
              <w:t> </w:t>
            </w:r>
          </w:p>
        </w:tc>
        <w:tc>
          <w:tcPr>
            <w:tcW w:w="7020" w:type="dxa"/>
            <w:tcBorders>
              <w:top w:val="nil"/>
              <w:left w:val="nil"/>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Forms of dissemination</w:t>
            </w:r>
          </w:p>
        </w:tc>
      </w:tr>
      <w:tr w:rsidR="00C0437C" w:rsidRPr="00D624A6" w:rsidTr="00AB22AD">
        <w:trPr>
          <w:trHeight w:val="300"/>
        </w:trPr>
        <w:tc>
          <w:tcPr>
            <w:tcW w:w="3528" w:type="dxa"/>
            <w:tcBorders>
              <w:top w:val="nil"/>
              <w:left w:val="single" w:sz="4" w:space="0" w:color="auto"/>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 </w:t>
            </w:r>
          </w:p>
        </w:tc>
        <w:tc>
          <w:tcPr>
            <w:tcW w:w="7020" w:type="dxa"/>
            <w:tcBorders>
              <w:top w:val="nil"/>
              <w:left w:val="nil"/>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Timeliness of publications</w:t>
            </w:r>
          </w:p>
        </w:tc>
      </w:tr>
      <w:tr w:rsidR="00C0437C" w:rsidRPr="00D624A6" w:rsidTr="00AB22AD">
        <w:trPr>
          <w:trHeight w:val="300"/>
        </w:trPr>
        <w:tc>
          <w:tcPr>
            <w:tcW w:w="3528" w:type="dxa"/>
            <w:tcBorders>
              <w:top w:val="nil"/>
              <w:left w:val="single" w:sz="4" w:space="0" w:color="auto"/>
              <w:bottom w:val="single" w:sz="4" w:space="0" w:color="auto"/>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 </w:t>
            </w:r>
          </w:p>
        </w:tc>
        <w:tc>
          <w:tcPr>
            <w:tcW w:w="7020" w:type="dxa"/>
            <w:tcBorders>
              <w:top w:val="nil"/>
              <w:left w:val="nil"/>
              <w:bottom w:val="single" w:sz="4" w:space="0" w:color="auto"/>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Storage of historical information</w:t>
            </w:r>
          </w:p>
        </w:tc>
      </w:tr>
      <w:tr w:rsidR="00C0437C" w:rsidRPr="00D624A6" w:rsidTr="00AB22AD">
        <w:trPr>
          <w:trHeight w:val="300"/>
        </w:trPr>
        <w:tc>
          <w:tcPr>
            <w:tcW w:w="3528" w:type="dxa"/>
            <w:tcBorders>
              <w:top w:val="nil"/>
              <w:left w:val="single" w:sz="4" w:space="0" w:color="auto"/>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Comparison with other data sources</w:t>
            </w:r>
          </w:p>
        </w:tc>
        <w:tc>
          <w:tcPr>
            <w:tcW w:w="7020" w:type="dxa"/>
            <w:tcBorders>
              <w:top w:val="nil"/>
              <w:left w:val="nil"/>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Consistency at aggregate level</w:t>
            </w:r>
          </w:p>
        </w:tc>
      </w:tr>
      <w:tr w:rsidR="00C0437C" w:rsidRPr="00D624A6" w:rsidTr="00AB22AD">
        <w:trPr>
          <w:trHeight w:val="300"/>
        </w:trPr>
        <w:tc>
          <w:tcPr>
            <w:tcW w:w="3528" w:type="dxa"/>
            <w:tcBorders>
              <w:top w:val="nil"/>
              <w:left w:val="single" w:sz="4" w:space="0" w:color="auto"/>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 </w:t>
            </w:r>
          </w:p>
        </w:tc>
        <w:tc>
          <w:tcPr>
            <w:tcW w:w="7020" w:type="dxa"/>
            <w:tcBorders>
              <w:top w:val="nil"/>
              <w:left w:val="nil"/>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Comparison of variable concepts and values with SNZ standards</w:t>
            </w:r>
          </w:p>
        </w:tc>
      </w:tr>
      <w:tr w:rsidR="00C0437C" w:rsidRPr="00D624A6" w:rsidTr="00AB22AD">
        <w:trPr>
          <w:trHeight w:val="300"/>
        </w:trPr>
        <w:tc>
          <w:tcPr>
            <w:tcW w:w="3528" w:type="dxa"/>
            <w:tcBorders>
              <w:top w:val="single" w:sz="4" w:space="0" w:color="auto"/>
              <w:left w:val="single" w:sz="4" w:space="0" w:color="auto"/>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Summary of Statistical Integrity</w:t>
            </w:r>
          </w:p>
        </w:tc>
        <w:tc>
          <w:tcPr>
            <w:tcW w:w="7020" w:type="dxa"/>
            <w:tcBorders>
              <w:top w:val="single" w:sz="4" w:space="0" w:color="auto"/>
              <w:left w:val="nil"/>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Is the population well-defined?</w:t>
            </w:r>
          </w:p>
        </w:tc>
      </w:tr>
      <w:tr w:rsidR="00C0437C" w:rsidRPr="00D624A6" w:rsidTr="00AB22AD">
        <w:trPr>
          <w:trHeight w:val="300"/>
        </w:trPr>
        <w:tc>
          <w:tcPr>
            <w:tcW w:w="3528" w:type="dxa"/>
            <w:tcBorders>
              <w:top w:val="nil"/>
              <w:left w:val="single" w:sz="4" w:space="0" w:color="auto"/>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 </w:t>
            </w:r>
          </w:p>
        </w:tc>
        <w:tc>
          <w:tcPr>
            <w:tcW w:w="7020" w:type="dxa"/>
            <w:tcBorders>
              <w:top w:val="nil"/>
              <w:left w:val="nil"/>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Do reporting units map to statistical units?</w:t>
            </w:r>
          </w:p>
        </w:tc>
      </w:tr>
      <w:tr w:rsidR="00C0437C" w:rsidRPr="00D624A6" w:rsidTr="00AB22AD">
        <w:trPr>
          <w:trHeight w:val="300"/>
        </w:trPr>
        <w:tc>
          <w:tcPr>
            <w:tcW w:w="3528" w:type="dxa"/>
            <w:tcBorders>
              <w:top w:val="nil"/>
              <w:left w:val="single" w:sz="4" w:space="0" w:color="auto"/>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 </w:t>
            </w:r>
          </w:p>
        </w:tc>
        <w:tc>
          <w:tcPr>
            <w:tcW w:w="7020" w:type="dxa"/>
            <w:tcBorders>
              <w:top w:val="nil"/>
              <w:left w:val="nil"/>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Are variables well-defined?</w:t>
            </w:r>
          </w:p>
        </w:tc>
      </w:tr>
      <w:tr w:rsidR="00C0437C" w:rsidRPr="00D624A6" w:rsidTr="00AB22AD">
        <w:trPr>
          <w:trHeight w:val="300"/>
        </w:trPr>
        <w:tc>
          <w:tcPr>
            <w:tcW w:w="3528" w:type="dxa"/>
            <w:tcBorders>
              <w:top w:val="nil"/>
              <w:left w:val="single" w:sz="4" w:space="0" w:color="auto"/>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 </w:t>
            </w:r>
          </w:p>
        </w:tc>
        <w:tc>
          <w:tcPr>
            <w:tcW w:w="7020" w:type="dxa"/>
            <w:tcBorders>
              <w:top w:val="nil"/>
              <w:left w:val="nil"/>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Do data collection and entry systems have good quality controls?</w:t>
            </w:r>
          </w:p>
        </w:tc>
      </w:tr>
      <w:tr w:rsidR="00C0437C" w:rsidRPr="00D624A6" w:rsidTr="00AB22AD">
        <w:trPr>
          <w:trHeight w:val="300"/>
        </w:trPr>
        <w:tc>
          <w:tcPr>
            <w:tcW w:w="3528" w:type="dxa"/>
            <w:tcBorders>
              <w:top w:val="nil"/>
              <w:left w:val="single" w:sz="4" w:space="0" w:color="auto"/>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 </w:t>
            </w:r>
          </w:p>
        </w:tc>
        <w:tc>
          <w:tcPr>
            <w:tcW w:w="7020" w:type="dxa"/>
            <w:tcBorders>
              <w:top w:val="nil"/>
              <w:left w:val="nil"/>
              <w:bottom w:val="nil"/>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Is data accuracy reasonable (bias, reliability, internal consistency)?</w:t>
            </w:r>
          </w:p>
        </w:tc>
      </w:tr>
      <w:tr w:rsidR="00C0437C" w:rsidRPr="00D624A6" w:rsidTr="00AB22AD">
        <w:trPr>
          <w:trHeight w:val="300"/>
        </w:trPr>
        <w:tc>
          <w:tcPr>
            <w:tcW w:w="3528" w:type="dxa"/>
            <w:tcBorders>
              <w:top w:val="nil"/>
              <w:left w:val="single" w:sz="4" w:space="0" w:color="auto"/>
              <w:bottom w:val="single" w:sz="4" w:space="0" w:color="auto"/>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 </w:t>
            </w:r>
          </w:p>
        </w:tc>
        <w:tc>
          <w:tcPr>
            <w:tcW w:w="7020" w:type="dxa"/>
            <w:tcBorders>
              <w:top w:val="nil"/>
              <w:left w:val="nil"/>
              <w:bottom w:val="single" w:sz="4" w:space="0" w:color="auto"/>
              <w:right w:val="single" w:sz="4" w:space="0" w:color="auto"/>
            </w:tcBorders>
            <w:shd w:val="clear" w:color="auto" w:fill="auto"/>
            <w:noWrap/>
            <w:vAlign w:val="bottom"/>
            <w:hideMark/>
          </w:tcPr>
          <w:p w:rsidR="00C0437C" w:rsidRPr="00D624A6" w:rsidRDefault="00C0437C" w:rsidP="00D624A6">
            <w:pPr>
              <w:spacing w:after="0"/>
              <w:jc w:val="both"/>
              <w:rPr>
                <w:rFonts w:eastAsia="Times New Roman" w:cstheme="minorHAnsi"/>
                <w:color w:val="000000"/>
                <w:lang w:eastAsia="en-NZ"/>
              </w:rPr>
            </w:pPr>
            <w:r w:rsidRPr="00D624A6">
              <w:rPr>
                <w:rFonts w:eastAsia="Times New Roman" w:cstheme="minorHAnsi"/>
                <w:color w:val="000000"/>
                <w:lang w:eastAsia="en-NZ"/>
              </w:rPr>
              <w:t>Is there a consistent time series?</w:t>
            </w:r>
          </w:p>
        </w:tc>
      </w:tr>
    </w:tbl>
    <w:p w:rsidR="005E402E" w:rsidRPr="00D624A6" w:rsidRDefault="00C0437C" w:rsidP="00D624A6">
      <w:pPr>
        <w:spacing w:before="240"/>
        <w:jc w:val="both"/>
      </w:pPr>
      <w:r w:rsidRPr="00D624A6">
        <w:rPr>
          <w:b/>
        </w:rPr>
        <w:t>Table 1.</w:t>
      </w:r>
      <w:r w:rsidRPr="00D624A6">
        <w:t xml:space="preserve"> Components of the Statistics NZ metadata template for administrative data</w:t>
      </w:r>
      <w:bookmarkStart w:id="0" w:name="_Toc363725364"/>
    </w:p>
    <w:p w:rsidR="00422080" w:rsidRPr="00D624A6" w:rsidRDefault="003E161F" w:rsidP="00D624A6">
      <w:pPr>
        <w:spacing w:before="240"/>
        <w:jc w:val="both"/>
      </w:pPr>
      <w:r w:rsidRPr="00D624A6">
        <w:t xml:space="preserve">This </w:t>
      </w:r>
      <w:r w:rsidR="003964B5" w:rsidRPr="00D624A6">
        <w:t>template has been reviewed and a</w:t>
      </w:r>
      <w:r w:rsidR="00F0357A" w:rsidRPr="00D624A6">
        <w:t xml:space="preserve">n updated version is available </w:t>
      </w:r>
      <w:r w:rsidR="00355E12" w:rsidRPr="00D624A6">
        <w:t xml:space="preserve">in </w:t>
      </w:r>
      <w:hyperlink r:id="rId10" w:history="1">
        <w:r w:rsidR="00355E12" w:rsidRPr="00D624A6">
          <w:rPr>
            <w:rStyle w:val="Hyperlink"/>
            <w:rFonts w:cstheme="minorHAnsi"/>
          </w:rPr>
          <w:t>Guide to reporting the quality of administrative data</w:t>
        </w:r>
      </w:hyperlink>
      <w:r w:rsidR="00F0357A" w:rsidRPr="00D624A6">
        <w:t>.</w:t>
      </w:r>
    </w:p>
    <w:bookmarkEnd w:id="0"/>
    <w:p w:rsidR="00F61267" w:rsidRPr="00D624A6" w:rsidRDefault="00F61267" w:rsidP="00D624A6">
      <w:pPr>
        <w:pStyle w:val="Heading1"/>
        <w:jc w:val="both"/>
        <w:rPr>
          <w:rFonts w:asciiTheme="minorHAnsi" w:hAnsiTheme="minorHAnsi"/>
        </w:rPr>
      </w:pPr>
      <w:r w:rsidRPr="00D624A6">
        <w:rPr>
          <w:rFonts w:asciiTheme="minorHAnsi" w:hAnsiTheme="minorHAnsi"/>
        </w:rPr>
        <w:t xml:space="preserve">Validating </w:t>
      </w:r>
      <w:r w:rsidR="008F11C8" w:rsidRPr="00D624A6">
        <w:rPr>
          <w:rFonts w:asciiTheme="minorHAnsi" w:hAnsiTheme="minorHAnsi"/>
        </w:rPr>
        <w:t xml:space="preserve">income </w:t>
      </w:r>
      <w:r w:rsidRPr="00D624A6">
        <w:rPr>
          <w:rFonts w:asciiTheme="minorHAnsi" w:hAnsiTheme="minorHAnsi"/>
        </w:rPr>
        <w:t>survey data</w:t>
      </w:r>
    </w:p>
    <w:p w:rsidR="0003065D" w:rsidRPr="00D624A6" w:rsidRDefault="0003065D" w:rsidP="00D624A6">
      <w:pPr>
        <w:jc w:val="both"/>
      </w:pPr>
      <w:r w:rsidRPr="00D624A6">
        <w:t xml:space="preserve">Various different projects are </w:t>
      </w:r>
      <w:r w:rsidR="001433DE" w:rsidRPr="00D624A6">
        <w:t>using data integration to examine</w:t>
      </w:r>
      <w:r w:rsidRPr="00D624A6">
        <w:t xml:space="preserve"> the use of administrative data in social and population statistics</w:t>
      </w:r>
      <w:r w:rsidR="001433DE" w:rsidRPr="00D624A6">
        <w:t>. Inland Revenue d</w:t>
      </w:r>
      <w:r w:rsidRPr="00D624A6">
        <w:t>ata</w:t>
      </w:r>
      <w:r w:rsidR="001433DE" w:rsidRPr="00D624A6">
        <w:t>, specifically</w:t>
      </w:r>
      <w:r w:rsidRPr="00D624A6">
        <w:t xml:space="preserve"> from </w:t>
      </w:r>
      <w:r w:rsidR="001433DE" w:rsidRPr="00D624A6">
        <w:t xml:space="preserve">the </w:t>
      </w:r>
      <w:r w:rsidRPr="00D624A6">
        <w:t>Employer Monthly Schedule (EMS) returns</w:t>
      </w:r>
      <w:r w:rsidR="00434597" w:rsidRPr="00D624A6">
        <w:t>, used to create LEED,</w:t>
      </w:r>
      <w:r w:rsidRPr="00D624A6">
        <w:t xml:space="preserve"> has been investigated as a possible </w:t>
      </w:r>
      <w:r w:rsidR="008F11C8" w:rsidRPr="00D624A6">
        <w:t>replacement for income data</w:t>
      </w:r>
      <w:r w:rsidRPr="00D624A6">
        <w:t xml:space="preserve"> in various projects. These projects have generally used comparisons between EMS and survey data, either at aggregate level or probabilistically linked. The measure of quality used has typically been how closely the administrative data is able to reproduce the results of surveys. Measures of link rates, coverage, and timeliness have also been used.</w:t>
      </w:r>
      <w:r w:rsidR="00355E12" w:rsidRPr="00D624A6">
        <w:t xml:space="preserve">  </w:t>
      </w:r>
    </w:p>
    <w:p w:rsidR="004D78FE" w:rsidRPr="00D624A6" w:rsidRDefault="004D78FE" w:rsidP="00D624A6">
      <w:pPr>
        <w:autoSpaceDE w:val="0"/>
        <w:autoSpaceDN w:val="0"/>
        <w:adjustRightInd w:val="0"/>
        <w:spacing w:after="0"/>
        <w:jc w:val="both"/>
        <w:rPr>
          <w:rFonts w:cstheme="minorHAnsi"/>
          <w:color w:val="000000"/>
        </w:rPr>
      </w:pPr>
      <w:r w:rsidRPr="00D624A6">
        <w:rPr>
          <w:rFonts w:cstheme="minorHAnsi"/>
        </w:rPr>
        <w:t xml:space="preserve">Statistics NZ uses a range of surveys to measure the income of New Zealand households and individuals. The </w:t>
      </w:r>
      <w:r w:rsidRPr="00D624A6">
        <w:rPr>
          <w:rFonts w:cstheme="minorHAnsi"/>
          <w:color w:val="000000"/>
        </w:rPr>
        <w:t xml:space="preserve">Quarterly Employment Survey (QES) provides income measures for those in paid employment at the job level. The following surveys provide income at both the individual and the household levels: </w:t>
      </w:r>
    </w:p>
    <w:p w:rsidR="004D78FE" w:rsidRPr="00D624A6" w:rsidRDefault="004D78FE" w:rsidP="00D624A6">
      <w:pPr>
        <w:pStyle w:val="ListParagraph"/>
        <w:numPr>
          <w:ilvl w:val="0"/>
          <w:numId w:val="14"/>
        </w:numPr>
        <w:autoSpaceDE w:val="0"/>
        <w:autoSpaceDN w:val="0"/>
        <w:adjustRightInd w:val="0"/>
        <w:spacing w:after="65"/>
        <w:jc w:val="both"/>
        <w:rPr>
          <w:rFonts w:cstheme="minorHAnsi"/>
          <w:color w:val="000000"/>
        </w:rPr>
      </w:pPr>
      <w:r w:rsidRPr="00D624A6">
        <w:rPr>
          <w:rFonts w:cstheme="minorHAnsi"/>
          <w:color w:val="000000"/>
        </w:rPr>
        <w:t xml:space="preserve">New Zealand Income Survey (NZIS) </w:t>
      </w:r>
    </w:p>
    <w:p w:rsidR="004D78FE" w:rsidRPr="00D624A6" w:rsidRDefault="004D78FE" w:rsidP="00D624A6">
      <w:pPr>
        <w:pStyle w:val="ListParagraph"/>
        <w:numPr>
          <w:ilvl w:val="0"/>
          <w:numId w:val="14"/>
        </w:numPr>
        <w:autoSpaceDE w:val="0"/>
        <w:autoSpaceDN w:val="0"/>
        <w:adjustRightInd w:val="0"/>
        <w:spacing w:after="65"/>
        <w:jc w:val="both"/>
        <w:rPr>
          <w:rFonts w:cstheme="minorHAnsi"/>
          <w:color w:val="000000"/>
        </w:rPr>
      </w:pPr>
      <w:r w:rsidRPr="00D624A6">
        <w:rPr>
          <w:rFonts w:cstheme="minorHAnsi"/>
          <w:color w:val="000000"/>
        </w:rPr>
        <w:t xml:space="preserve">Household Economic Survey (HES) / HES (Income) </w:t>
      </w:r>
    </w:p>
    <w:p w:rsidR="004D78FE" w:rsidRPr="00D624A6" w:rsidRDefault="004D78FE" w:rsidP="00D624A6">
      <w:pPr>
        <w:pStyle w:val="ListParagraph"/>
        <w:numPr>
          <w:ilvl w:val="0"/>
          <w:numId w:val="14"/>
        </w:numPr>
        <w:autoSpaceDE w:val="0"/>
        <w:autoSpaceDN w:val="0"/>
        <w:adjustRightInd w:val="0"/>
        <w:spacing w:after="65"/>
        <w:jc w:val="both"/>
        <w:rPr>
          <w:rFonts w:cstheme="minorHAnsi"/>
          <w:color w:val="000000"/>
        </w:rPr>
      </w:pPr>
      <w:r w:rsidRPr="00D624A6">
        <w:rPr>
          <w:rFonts w:cstheme="minorHAnsi"/>
          <w:color w:val="000000"/>
        </w:rPr>
        <w:t xml:space="preserve">Survey of Family, Income and Employment (SoFIE) </w:t>
      </w:r>
    </w:p>
    <w:p w:rsidR="004D78FE" w:rsidRPr="00D624A6" w:rsidRDefault="004D78FE" w:rsidP="00D624A6">
      <w:pPr>
        <w:pStyle w:val="ListParagraph"/>
        <w:numPr>
          <w:ilvl w:val="0"/>
          <w:numId w:val="14"/>
        </w:numPr>
        <w:autoSpaceDE w:val="0"/>
        <w:autoSpaceDN w:val="0"/>
        <w:adjustRightInd w:val="0"/>
        <w:spacing w:after="0"/>
        <w:jc w:val="both"/>
        <w:rPr>
          <w:rFonts w:cstheme="minorHAnsi"/>
          <w:color w:val="000000"/>
        </w:rPr>
      </w:pPr>
      <w:r w:rsidRPr="00D624A6">
        <w:rPr>
          <w:rFonts w:cstheme="minorHAnsi"/>
          <w:color w:val="000000"/>
        </w:rPr>
        <w:t>Censu</w:t>
      </w:r>
      <w:r w:rsidR="006B1771">
        <w:rPr>
          <w:rFonts w:cstheme="minorHAnsi"/>
          <w:color w:val="000000"/>
        </w:rPr>
        <w:t>s of Population and Dwellings (C</w:t>
      </w:r>
      <w:r w:rsidRPr="00D624A6">
        <w:rPr>
          <w:rFonts w:cstheme="minorHAnsi"/>
          <w:color w:val="000000"/>
        </w:rPr>
        <w:t xml:space="preserve">ensus). </w:t>
      </w:r>
    </w:p>
    <w:p w:rsidR="00066A4E" w:rsidRPr="00D624A6" w:rsidRDefault="00066A4E" w:rsidP="00D624A6">
      <w:pPr>
        <w:jc w:val="both"/>
        <w:rPr>
          <w:rFonts w:cstheme="minorHAnsi"/>
        </w:rPr>
      </w:pPr>
      <w:r w:rsidRPr="00D624A6">
        <w:rPr>
          <w:rFonts w:cstheme="minorHAnsi"/>
          <w:color w:val="000000"/>
        </w:rPr>
        <w:t xml:space="preserve">All these surveys include income from various sources - </w:t>
      </w:r>
      <w:r w:rsidRPr="00D624A6">
        <w:rPr>
          <w:rFonts w:cstheme="minorHAnsi"/>
        </w:rPr>
        <w:t xml:space="preserve">wages and salaries, self-employment, government transfers (e.g., benefits and tax credits), private superannuation, and investments. Income data are collected from households; however, person-level </w:t>
      </w:r>
      <w:r w:rsidR="00323F75" w:rsidRPr="00D624A6">
        <w:rPr>
          <w:rFonts w:cstheme="minorHAnsi"/>
        </w:rPr>
        <w:t xml:space="preserve">and household-level </w:t>
      </w:r>
      <w:r w:rsidRPr="00D624A6">
        <w:rPr>
          <w:rFonts w:cstheme="minorHAnsi"/>
        </w:rPr>
        <w:t xml:space="preserve">income </w:t>
      </w:r>
      <w:r w:rsidR="00323F75" w:rsidRPr="00D624A6">
        <w:rPr>
          <w:rFonts w:cstheme="minorHAnsi"/>
        </w:rPr>
        <w:t>statistics</w:t>
      </w:r>
      <w:r w:rsidRPr="00D624A6">
        <w:rPr>
          <w:rFonts w:cstheme="minorHAnsi"/>
        </w:rPr>
        <w:t xml:space="preserve"> are available and published.</w:t>
      </w:r>
    </w:p>
    <w:p w:rsidR="00D65CA8" w:rsidRPr="00D624A6" w:rsidRDefault="00D65CA8" w:rsidP="00D624A6">
      <w:pPr>
        <w:spacing w:after="0"/>
        <w:jc w:val="both"/>
      </w:pPr>
      <w:r w:rsidRPr="00D624A6">
        <w:t>Validation projects carried out to replace income aimed to determine how closely the income information obtained entirely from tax information reproduces survey results. Replacing income may fall into three categories:</w:t>
      </w:r>
    </w:p>
    <w:p w:rsidR="00D65CA8" w:rsidRPr="00D624A6" w:rsidRDefault="00D65CA8" w:rsidP="00D624A6">
      <w:pPr>
        <w:pStyle w:val="ListParagraph"/>
        <w:numPr>
          <w:ilvl w:val="0"/>
          <w:numId w:val="14"/>
        </w:numPr>
        <w:jc w:val="both"/>
      </w:pPr>
      <w:r w:rsidRPr="00D624A6">
        <w:t>Full replacement of survey questions with tax data</w:t>
      </w:r>
    </w:p>
    <w:p w:rsidR="00D65CA8" w:rsidRPr="00D624A6" w:rsidRDefault="00D65CA8" w:rsidP="00D624A6">
      <w:pPr>
        <w:pStyle w:val="ListParagraph"/>
        <w:numPr>
          <w:ilvl w:val="0"/>
          <w:numId w:val="14"/>
        </w:numPr>
        <w:jc w:val="both"/>
      </w:pPr>
      <w:r w:rsidRPr="00D624A6">
        <w:t>Production of  income statistics using tax data</w:t>
      </w:r>
    </w:p>
    <w:p w:rsidR="00D65CA8" w:rsidRPr="00D624A6" w:rsidRDefault="00D65CA8" w:rsidP="00D624A6">
      <w:pPr>
        <w:pStyle w:val="ListParagraph"/>
        <w:numPr>
          <w:ilvl w:val="0"/>
          <w:numId w:val="14"/>
        </w:numPr>
        <w:spacing w:after="0"/>
        <w:jc w:val="both"/>
      </w:pPr>
      <w:r w:rsidRPr="00D624A6">
        <w:t xml:space="preserve">Using tax data for benchmarking, imputation, validation, or other methods to improve the statistics obtained from income surveys. </w:t>
      </w:r>
    </w:p>
    <w:p w:rsidR="000B39CA" w:rsidRPr="00D624A6" w:rsidRDefault="000B39CA" w:rsidP="006B1771">
      <w:pPr>
        <w:spacing w:before="240"/>
        <w:jc w:val="both"/>
      </w:pPr>
      <w:r w:rsidRPr="00D624A6">
        <w:t xml:space="preserve">No validation project has concluded that administrative data available in the IDI can fully replace the survey questions available in </w:t>
      </w:r>
      <w:r w:rsidR="006B1771">
        <w:t xml:space="preserve">either </w:t>
      </w:r>
      <w:r w:rsidRPr="00D624A6">
        <w:t xml:space="preserve">NZIS </w:t>
      </w:r>
      <w:r w:rsidR="006B1771">
        <w:t>or</w:t>
      </w:r>
      <w:r w:rsidRPr="00D624A6">
        <w:t xml:space="preserve"> HES. Most projects support the use of administrative data in either the production of some income statistics or for benchmarking, imputation, validation, or other methods to improve the statistics obtained from income surveys. </w:t>
      </w:r>
    </w:p>
    <w:p w:rsidR="00D65CA8" w:rsidRPr="00D624A6" w:rsidRDefault="009B24C4" w:rsidP="00D624A6">
      <w:pPr>
        <w:pStyle w:val="Heading3"/>
        <w:jc w:val="both"/>
        <w:rPr>
          <w:rFonts w:asciiTheme="minorHAnsi" w:hAnsiTheme="minorHAnsi"/>
        </w:rPr>
      </w:pPr>
      <w:r w:rsidRPr="00D624A6">
        <w:rPr>
          <w:rFonts w:asciiTheme="minorHAnsi" w:hAnsiTheme="minorHAnsi"/>
        </w:rPr>
        <w:lastRenderedPageBreak/>
        <w:t>Issues identified</w:t>
      </w:r>
      <w:r w:rsidR="00140573" w:rsidRPr="00D624A6">
        <w:rPr>
          <w:rFonts w:asciiTheme="minorHAnsi" w:hAnsiTheme="minorHAnsi"/>
        </w:rPr>
        <w:t xml:space="preserve"> in the validation projects</w:t>
      </w:r>
    </w:p>
    <w:p w:rsidR="00DE701A" w:rsidRPr="00D624A6" w:rsidRDefault="00DE701A" w:rsidP="00D624A6">
      <w:pPr>
        <w:pStyle w:val="ListParagraph"/>
        <w:numPr>
          <w:ilvl w:val="0"/>
          <w:numId w:val="15"/>
        </w:numPr>
        <w:jc w:val="both"/>
        <w:rPr>
          <w:rFonts w:cstheme="minorHAnsi"/>
        </w:rPr>
      </w:pPr>
      <w:r w:rsidRPr="00D624A6">
        <w:rPr>
          <w:rFonts w:cstheme="minorHAnsi"/>
        </w:rPr>
        <w:t>Timeliness of administrative data. These include:</w:t>
      </w:r>
    </w:p>
    <w:p w:rsidR="00DE701A" w:rsidRPr="00D624A6" w:rsidRDefault="00307243" w:rsidP="00D624A6">
      <w:pPr>
        <w:pStyle w:val="ListParagraph"/>
        <w:numPr>
          <w:ilvl w:val="0"/>
          <w:numId w:val="20"/>
        </w:numPr>
        <w:jc w:val="both"/>
        <w:rPr>
          <w:rFonts w:cstheme="minorHAnsi"/>
        </w:rPr>
      </w:pPr>
      <w:r>
        <w:rPr>
          <w:rFonts w:cstheme="minorHAnsi"/>
        </w:rPr>
        <w:t>The promptness in</w:t>
      </w:r>
      <w:r w:rsidR="00DE701A" w:rsidRPr="00D624A6">
        <w:rPr>
          <w:rFonts w:cstheme="minorHAnsi"/>
        </w:rPr>
        <w:t xml:space="preserve"> picking up of new entrants to the work force. A high number of new entrants not picked </w:t>
      </w:r>
      <w:r w:rsidR="0071529C">
        <w:rPr>
          <w:rFonts w:cstheme="minorHAnsi"/>
        </w:rPr>
        <w:t xml:space="preserve">up </w:t>
      </w:r>
      <w:r>
        <w:rPr>
          <w:rFonts w:cstheme="minorHAnsi"/>
        </w:rPr>
        <w:t xml:space="preserve">quickly </w:t>
      </w:r>
      <w:r w:rsidR="00DE701A" w:rsidRPr="00D624A6">
        <w:rPr>
          <w:rFonts w:cstheme="minorHAnsi"/>
        </w:rPr>
        <w:t>enough by administrative data leads to potential bias in official statistics.</w:t>
      </w:r>
    </w:p>
    <w:p w:rsidR="009B24C4" w:rsidRPr="00D624A6" w:rsidRDefault="00DE701A" w:rsidP="00D624A6">
      <w:pPr>
        <w:pStyle w:val="ListParagraph"/>
        <w:numPr>
          <w:ilvl w:val="0"/>
          <w:numId w:val="20"/>
        </w:numPr>
        <w:jc w:val="both"/>
        <w:rPr>
          <w:rFonts w:cstheme="minorHAnsi"/>
        </w:rPr>
      </w:pPr>
      <w:r w:rsidRPr="00D624A6">
        <w:rPr>
          <w:rFonts w:cstheme="minorHAnsi"/>
        </w:rPr>
        <w:t>T</w:t>
      </w:r>
      <w:r w:rsidR="009B24C4" w:rsidRPr="00D624A6">
        <w:rPr>
          <w:rFonts w:cstheme="minorHAnsi"/>
        </w:rPr>
        <w:t xml:space="preserve">iming issues around getting the linking accomplished in time </w:t>
      </w:r>
      <w:r w:rsidR="00140573" w:rsidRPr="00D624A6">
        <w:rPr>
          <w:rFonts w:cstheme="minorHAnsi"/>
        </w:rPr>
        <w:t xml:space="preserve">for production </w:t>
      </w:r>
    </w:p>
    <w:p w:rsidR="00C13F7C" w:rsidRPr="00D624A6" w:rsidRDefault="00F77033" w:rsidP="00D624A6">
      <w:pPr>
        <w:pStyle w:val="ListParagraph"/>
        <w:numPr>
          <w:ilvl w:val="0"/>
          <w:numId w:val="15"/>
        </w:numPr>
        <w:jc w:val="both"/>
        <w:rPr>
          <w:rFonts w:cstheme="minorHAnsi"/>
        </w:rPr>
      </w:pPr>
      <w:r w:rsidRPr="00D624A6">
        <w:rPr>
          <w:rFonts w:cstheme="minorHAnsi"/>
        </w:rPr>
        <w:t>Some key statistics are not available from existing sources of data. These include hours for each job and some income sources such as income from investments.</w:t>
      </w:r>
    </w:p>
    <w:p w:rsidR="00F77033" w:rsidRPr="00D624A6" w:rsidRDefault="00F77033" w:rsidP="00D624A6">
      <w:pPr>
        <w:pStyle w:val="ListParagraph"/>
        <w:numPr>
          <w:ilvl w:val="0"/>
          <w:numId w:val="15"/>
        </w:numPr>
        <w:jc w:val="both"/>
        <w:rPr>
          <w:rFonts w:cstheme="minorHAnsi"/>
        </w:rPr>
      </w:pPr>
      <w:r w:rsidRPr="00D624A6">
        <w:rPr>
          <w:rFonts w:cstheme="minorHAnsi"/>
        </w:rPr>
        <w:t>Sources of potential bias have been identified. These include:</w:t>
      </w:r>
    </w:p>
    <w:p w:rsidR="00F77033" w:rsidRPr="00D624A6" w:rsidRDefault="00F77033" w:rsidP="00D624A6">
      <w:pPr>
        <w:pStyle w:val="ListParagraph"/>
        <w:numPr>
          <w:ilvl w:val="0"/>
          <w:numId w:val="21"/>
        </w:numPr>
        <w:spacing w:after="0"/>
        <w:jc w:val="both"/>
        <w:rPr>
          <w:rFonts w:cstheme="minorHAnsi"/>
        </w:rPr>
      </w:pPr>
      <w:r w:rsidRPr="00D624A6">
        <w:rPr>
          <w:rFonts w:cstheme="minorHAnsi"/>
        </w:rPr>
        <w:t xml:space="preserve">Coverage and conceptual issues especially for some age groups such as 15-19 and 65+. A solution is to correct LEED totals to account for conceptual differences in the definition </w:t>
      </w:r>
      <w:r w:rsidR="00307243">
        <w:rPr>
          <w:rFonts w:cstheme="minorHAnsi"/>
        </w:rPr>
        <w:t xml:space="preserve">of </w:t>
      </w:r>
      <w:r w:rsidRPr="00D624A6">
        <w:rPr>
          <w:rFonts w:cstheme="minorHAnsi"/>
        </w:rPr>
        <w:t>income from wages and salaries as well as coverage differences.</w:t>
      </w:r>
    </w:p>
    <w:p w:rsidR="00F77033" w:rsidRPr="00D624A6" w:rsidRDefault="00F77033" w:rsidP="00D624A6">
      <w:pPr>
        <w:pStyle w:val="ListParagraph"/>
        <w:numPr>
          <w:ilvl w:val="0"/>
          <w:numId w:val="21"/>
        </w:numPr>
        <w:spacing w:after="0"/>
        <w:jc w:val="both"/>
        <w:rPr>
          <w:rFonts w:cstheme="minorHAnsi"/>
        </w:rPr>
      </w:pPr>
      <w:r w:rsidRPr="00D624A6">
        <w:rPr>
          <w:rFonts w:cstheme="minorHAnsi"/>
        </w:rPr>
        <w:t>People with some income source seem more likely to match. This has a potential for bias especially if LEED data is used to replace NZIS data with non-matches being imputed.</w:t>
      </w:r>
    </w:p>
    <w:p w:rsidR="00F77033" w:rsidRPr="00D624A6" w:rsidRDefault="00F77033" w:rsidP="00D624A6">
      <w:pPr>
        <w:pStyle w:val="ListParagraph"/>
        <w:numPr>
          <w:ilvl w:val="0"/>
          <w:numId w:val="15"/>
        </w:numPr>
        <w:jc w:val="both"/>
        <w:rPr>
          <w:rFonts w:cstheme="minorHAnsi"/>
        </w:rPr>
      </w:pPr>
      <w:r w:rsidRPr="00D624A6">
        <w:rPr>
          <w:rFonts w:cstheme="minorHAnsi"/>
        </w:rPr>
        <w:t>Using LEED will result in a break in the data series that needs to be managed</w:t>
      </w:r>
    </w:p>
    <w:p w:rsidR="00C13F7C" w:rsidRPr="00D624A6" w:rsidRDefault="00C13F7C" w:rsidP="00D624A6">
      <w:pPr>
        <w:pStyle w:val="ListParagraph"/>
        <w:numPr>
          <w:ilvl w:val="0"/>
          <w:numId w:val="15"/>
        </w:numPr>
        <w:jc w:val="both"/>
        <w:rPr>
          <w:rFonts w:cstheme="minorHAnsi"/>
        </w:rPr>
      </w:pPr>
      <w:r w:rsidRPr="00D624A6">
        <w:rPr>
          <w:rFonts w:cstheme="minorHAnsi"/>
        </w:rPr>
        <w:t xml:space="preserve">Backwards and forward casting of the </w:t>
      </w:r>
      <w:r w:rsidR="00DE701A" w:rsidRPr="00D624A6">
        <w:rPr>
          <w:rFonts w:cstheme="minorHAnsi"/>
        </w:rPr>
        <w:t>l</w:t>
      </w:r>
      <w:r w:rsidR="00F77033" w:rsidRPr="00D624A6">
        <w:rPr>
          <w:rFonts w:cstheme="minorHAnsi"/>
        </w:rPr>
        <w:t xml:space="preserve">ink especially for longitudinal data. A </w:t>
      </w:r>
      <w:r w:rsidRPr="00D624A6">
        <w:rPr>
          <w:rFonts w:cstheme="minorHAnsi"/>
        </w:rPr>
        <w:t>person may link in one quarter but not in another due to data quality reasons (or may link to a different record)</w:t>
      </w:r>
      <w:r w:rsidR="00F77033" w:rsidRPr="00D624A6">
        <w:rPr>
          <w:rFonts w:cstheme="minorHAnsi"/>
        </w:rPr>
        <w:t>.</w:t>
      </w:r>
    </w:p>
    <w:p w:rsidR="00354E53" w:rsidRPr="00D624A6" w:rsidRDefault="00C13F7C" w:rsidP="00D624A6">
      <w:pPr>
        <w:pStyle w:val="ListParagraph"/>
        <w:numPr>
          <w:ilvl w:val="0"/>
          <w:numId w:val="19"/>
        </w:numPr>
        <w:jc w:val="both"/>
        <w:rPr>
          <w:rFonts w:cstheme="minorHAnsi"/>
        </w:rPr>
      </w:pPr>
      <w:r w:rsidRPr="00D624A6">
        <w:rPr>
          <w:rFonts w:cstheme="minorHAnsi"/>
        </w:rPr>
        <w:t xml:space="preserve">Pay periods are not consistent with </w:t>
      </w:r>
      <w:r w:rsidR="0049323C">
        <w:rPr>
          <w:rFonts w:cstheme="minorHAnsi"/>
        </w:rPr>
        <w:t xml:space="preserve">the survey </w:t>
      </w:r>
      <w:r w:rsidRPr="00D624A6">
        <w:rPr>
          <w:rFonts w:cstheme="minorHAnsi"/>
        </w:rPr>
        <w:t>reference period</w:t>
      </w:r>
      <w:r w:rsidR="00F77033" w:rsidRPr="00D624A6">
        <w:rPr>
          <w:rFonts w:cstheme="minorHAnsi"/>
        </w:rPr>
        <w:t xml:space="preserve">. </w:t>
      </w:r>
      <w:r w:rsidR="00EB4D29" w:rsidRPr="00D624A6">
        <w:rPr>
          <w:rFonts w:cstheme="minorHAnsi"/>
        </w:rPr>
        <w:t xml:space="preserve">NZIS </w:t>
      </w:r>
      <w:r w:rsidR="00F77033" w:rsidRPr="00D624A6">
        <w:rPr>
          <w:rFonts w:cstheme="minorHAnsi"/>
        </w:rPr>
        <w:t>collects</w:t>
      </w:r>
      <w:r w:rsidR="00EB4D29" w:rsidRPr="00D624A6">
        <w:rPr>
          <w:rFonts w:cstheme="minorHAnsi"/>
        </w:rPr>
        <w:t xml:space="preserve"> weekly</w:t>
      </w:r>
      <w:r w:rsidR="00F77033" w:rsidRPr="00D624A6">
        <w:rPr>
          <w:rFonts w:cstheme="minorHAnsi"/>
        </w:rPr>
        <w:t xml:space="preserve"> income while HES collects annual income. </w:t>
      </w:r>
      <w:r w:rsidR="00EB4D29" w:rsidRPr="00D624A6">
        <w:rPr>
          <w:rFonts w:cstheme="minorHAnsi"/>
        </w:rPr>
        <w:t>EMS reports monthly</w:t>
      </w:r>
      <w:r w:rsidR="00F77033" w:rsidRPr="00D624A6">
        <w:rPr>
          <w:rFonts w:cstheme="minorHAnsi"/>
        </w:rPr>
        <w:t xml:space="preserve"> earnings</w:t>
      </w:r>
      <w:r w:rsidR="00EB4D29" w:rsidRPr="00D624A6">
        <w:rPr>
          <w:rFonts w:cstheme="minorHAnsi"/>
        </w:rPr>
        <w:t xml:space="preserve">. Scaling </w:t>
      </w:r>
      <w:r w:rsidR="00F77033" w:rsidRPr="00D624A6">
        <w:rPr>
          <w:rFonts w:cstheme="minorHAnsi"/>
        </w:rPr>
        <w:t>administrative will be an issue especially at unit record level.</w:t>
      </w:r>
    </w:p>
    <w:p w:rsidR="00B81AEB" w:rsidRPr="00D624A6" w:rsidRDefault="00B81AEB" w:rsidP="00D624A6">
      <w:pPr>
        <w:pStyle w:val="Heading3"/>
        <w:jc w:val="both"/>
        <w:rPr>
          <w:rFonts w:asciiTheme="minorHAnsi" w:hAnsiTheme="minorHAnsi"/>
        </w:rPr>
      </w:pPr>
      <w:r w:rsidRPr="00D624A6">
        <w:rPr>
          <w:rFonts w:asciiTheme="minorHAnsi" w:hAnsiTheme="minorHAnsi"/>
        </w:rPr>
        <w:t>Recommendations from validation projects on income</w:t>
      </w:r>
    </w:p>
    <w:p w:rsidR="00B81AEB" w:rsidRPr="00D624A6" w:rsidRDefault="00B81AEB" w:rsidP="00D624A6">
      <w:pPr>
        <w:pStyle w:val="ListParagraph"/>
        <w:numPr>
          <w:ilvl w:val="0"/>
          <w:numId w:val="19"/>
        </w:numPr>
        <w:jc w:val="both"/>
        <w:rPr>
          <w:rFonts w:cstheme="minorHAnsi"/>
        </w:rPr>
      </w:pPr>
      <w:r w:rsidRPr="00D624A6">
        <w:rPr>
          <w:rFonts w:cstheme="minorHAnsi"/>
        </w:rPr>
        <w:t xml:space="preserve">A quality framework is beneficial in assessing </w:t>
      </w:r>
      <w:r w:rsidRPr="00D624A6">
        <w:t xml:space="preserve">how closely the administrative data is able to reproduce the results of surveys. </w:t>
      </w:r>
    </w:p>
    <w:p w:rsidR="00B81AEB" w:rsidRPr="00D624A6" w:rsidRDefault="00B81AEB" w:rsidP="00D624A6">
      <w:pPr>
        <w:pStyle w:val="ListParagraph"/>
        <w:numPr>
          <w:ilvl w:val="0"/>
          <w:numId w:val="19"/>
        </w:numPr>
        <w:jc w:val="both"/>
        <w:rPr>
          <w:rFonts w:cstheme="minorHAnsi"/>
        </w:rPr>
      </w:pPr>
      <w:r w:rsidRPr="00D624A6">
        <w:t xml:space="preserve">The key quality dimension to use is accuracy. </w:t>
      </w:r>
      <w:r w:rsidRPr="00D624A6">
        <w:rPr>
          <w:rFonts w:cstheme="minorHAnsi"/>
        </w:rPr>
        <w:t>The normalised root mean square error is a useful tool to evaluate the accuracy of statistics sourced from integrated datasets.</w:t>
      </w:r>
    </w:p>
    <w:p w:rsidR="00B81AEB" w:rsidRPr="00D624A6" w:rsidRDefault="00B81AEB" w:rsidP="00D624A6">
      <w:pPr>
        <w:pStyle w:val="ListParagraph"/>
        <w:numPr>
          <w:ilvl w:val="0"/>
          <w:numId w:val="19"/>
        </w:numPr>
        <w:jc w:val="both"/>
        <w:rPr>
          <w:rFonts w:cstheme="minorHAnsi"/>
        </w:rPr>
      </w:pPr>
      <w:r w:rsidRPr="00D624A6">
        <w:rPr>
          <w:rFonts w:cstheme="minorHAnsi"/>
        </w:rPr>
        <w:t>The linked SoFIE-IR data should be used to evaluate the impact of non-response and the improvement of surveys through calibration.</w:t>
      </w:r>
    </w:p>
    <w:p w:rsidR="00DE701A" w:rsidRPr="00D624A6" w:rsidRDefault="00967DC3" w:rsidP="00D624A6">
      <w:pPr>
        <w:pStyle w:val="ListParagraph"/>
        <w:numPr>
          <w:ilvl w:val="0"/>
          <w:numId w:val="19"/>
        </w:numPr>
        <w:jc w:val="both"/>
        <w:rPr>
          <w:rFonts w:cstheme="minorHAnsi"/>
        </w:rPr>
      </w:pPr>
      <w:r w:rsidRPr="00D624A6">
        <w:rPr>
          <w:rFonts w:cstheme="minorHAnsi"/>
        </w:rPr>
        <w:t xml:space="preserve">Tax data </w:t>
      </w:r>
      <w:r w:rsidR="00F50C69" w:rsidRPr="00D624A6">
        <w:rPr>
          <w:rFonts w:cstheme="minorHAnsi"/>
        </w:rPr>
        <w:t>can be used to produce</w:t>
      </w:r>
      <w:r w:rsidRPr="00D624A6">
        <w:rPr>
          <w:rFonts w:cstheme="minorHAnsi"/>
        </w:rPr>
        <w:t xml:space="preserve"> income </w:t>
      </w:r>
      <w:r w:rsidR="00F50C69" w:rsidRPr="00D624A6">
        <w:rPr>
          <w:rFonts w:cstheme="minorHAnsi"/>
        </w:rPr>
        <w:t xml:space="preserve">statistics </w:t>
      </w:r>
      <w:r w:rsidRPr="00D624A6">
        <w:rPr>
          <w:rFonts w:cstheme="minorHAnsi"/>
        </w:rPr>
        <w:t xml:space="preserve">sourced from salaries and wages while various administrative data available from the IDI </w:t>
      </w:r>
      <w:r w:rsidR="00F50C69" w:rsidRPr="00D624A6">
        <w:rPr>
          <w:rFonts w:cstheme="minorHAnsi"/>
        </w:rPr>
        <w:t xml:space="preserve">can be used to produce income statistics sourced from </w:t>
      </w:r>
      <w:r w:rsidRPr="00D624A6">
        <w:rPr>
          <w:rFonts w:cstheme="minorHAnsi"/>
        </w:rPr>
        <w:t>government transfers.</w:t>
      </w:r>
      <w:r w:rsidR="00634C09" w:rsidRPr="00D624A6">
        <w:rPr>
          <w:rFonts w:cstheme="minorHAnsi"/>
        </w:rPr>
        <w:t xml:space="preserve"> Some calibration will still be required to correct for potential biases arising from measurement and representation errors.</w:t>
      </w:r>
    </w:p>
    <w:p w:rsidR="00DE701A" w:rsidRPr="00D624A6" w:rsidRDefault="00DE701A" w:rsidP="00D624A6">
      <w:pPr>
        <w:pStyle w:val="ListParagraph"/>
        <w:numPr>
          <w:ilvl w:val="0"/>
          <w:numId w:val="19"/>
        </w:numPr>
        <w:jc w:val="both"/>
        <w:rPr>
          <w:rFonts w:cstheme="minorHAnsi"/>
        </w:rPr>
      </w:pPr>
      <w:r w:rsidRPr="00D624A6">
        <w:rPr>
          <w:rFonts w:cstheme="minorHAnsi"/>
        </w:rPr>
        <w:t xml:space="preserve">Administrative data is useful </w:t>
      </w:r>
      <w:r w:rsidRPr="00D624A6">
        <w:t xml:space="preserve">for benchmarking, imputation, validation, providing revisions to statistics or other methods to improve the statistics obtained from income surveys. </w:t>
      </w:r>
    </w:p>
    <w:p w:rsidR="00317254" w:rsidRPr="00D624A6" w:rsidRDefault="00317254" w:rsidP="00D624A6">
      <w:pPr>
        <w:pStyle w:val="ListParagraph"/>
        <w:numPr>
          <w:ilvl w:val="0"/>
          <w:numId w:val="19"/>
        </w:numPr>
        <w:jc w:val="both"/>
        <w:rPr>
          <w:rFonts w:cstheme="minorHAnsi"/>
        </w:rPr>
      </w:pPr>
      <w:r w:rsidRPr="00D624A6">
        <w:rPr>
          <w:rFonts w:cstheme="minorHAnsi"/>
        </w:rPr>
        <w:t>Collect IRD number from survey respondents to improve linking. The IRD number can be used for exact matching rather than probabilistic matching.</w:t>
      </w:r>
    </w:p>
    <w:p w:rsidR="00317254" w:rsidRPr="00D624A6" w:rsidRDefault="00317254" w:rsidP="00D624A6">
      <w:pPr>
        <w:pStyle w:val="ListParagraph"/>
        <w:numPr>
          <w:ilvl w:val="0"/>
          <w:numId w:val="19"/>
        </w:numPr>
        <w:jc w:val="both"/>
        <w:rPr>
          <w:rFonts w:cstheme="minorHAnsi"/>
        </w:rPr>
      </w:pPr>
      <w:r w:rsidRPr="00D624A6">
        <w:rPr>
          <w:rFonts w:cstheme="minorHAnsi"/>
        </w:rPr>
        <w:t>Investigate the use of other variables besides names and date of birth to improve on probabilistic matching especially for respondents who do not want to provide their IRD numbers.</w:t>
      </w:r>
    </w:p>
    <w:p w:rsidR="000C371A" w:rsidRPr="00D624A6" w:rsidRDefault="000C371A" w:rsidP="00D624A6">
      <w:pPr>
        <w:pStyle w:val="Heading1"/>
        <w:jc w:val="both"/>
        <w:rPr>
          <w:rFonts w:asciiTheme="minorHAnsi" w:hAnsiTheme="minorHAnsi"/>
        </w:rPr>
      </w:pPr>
      <w:r w:rsidRPr="00D624A6">
        <w:rPr>
          <w:rFonts w:asciiTheme="minorHAnsi" w:hAnsiTheme="minorHAnsi"/>
        </w:rPr>
        <w:t>Improving the design of existing statistics</w:t>
      </w:r>
    </w:p>
    <w:p w:rsidR="000819A2" w:rsidRPr="00D624A6" w:rsidRDefault="00F05A9D" w:rsidP="00D624A6">
      <w:pPr>
        <w:jc w:val="both"/>
        <w:rPr>
          <w:rFonts w:cstheme="minorHAnsi"/>
        </w:rPr>
      </w:pPr>
      <w:r w:rsidRPr="00D624A6">
        <w:t xml:space="preserve">The Household Labour Force Survey (HLFS) was linked to the 2013 Census data to analyse non-respondents to the HLFS. The non-respondents were either refusals or non-contacts. </w:t>
      </w:r>
      <w:r w:rsidRPr="00D624A6">
        <w:rPr>
          <w:rFonts w:cstheme="minorHAnsi"/>
        </w:rPr>
        <w:t>The proportion of non-responders has been increasing over time, with resp</w:t>
      </w:r>
      <w:r w:rsidR="007419BA" w:rsidRPr="00D624A6">
        <w:rPr>
          <w:rFonts w:cstheme="minorHAnsi"/>
        </w:rPr>
        <w:t>onse rates now around 86%</w:t>
      </w:r>
      <w:r w:rsidRPr="00D624A6">
        <w:rPr>
          <w:rFonts w:cstheme="minorHAnsi"/>
        </w:rPr>
        <w:t xml:space="preserve">. </w:t>
      </w:r>
      <w:r w:rsidR="00346B02" w:rsidRPr="00D624A6">
        <w:rPr>
          <w:rFonts w:cstheme="minorHAnsi"/>
        </w:rPr>
        <w:t>The purpose of the data integration was to gain a greater understanding of the demographic and labour force characteristics</w:t>
      </w:r>
      <w:r w:rsidR="005E5B5E">
        <w:rPr>
          <w:rFonts w:cstheme="minorHAnsi"/>
        </w:rPr>
        <w:t>, using the linked 2013 Census data,</w:t>
      </w:r>
      <w:r w:rsidR="00346B02" w:rsidRPr="00D624A6">
        <w:rPr>
          <w:rFonts w:cstheme="minorHAnsi"/>
        </w:rPr>
        <w:t xml:space="preserve"> of those who did not respond to the March 2013 quarter of the HLFS. </w:t>
      </w:r>
      <w:r w:rsidR="000819A2" w:rsidRPr="00D624A6">
        <w:rPr>
          <w:rFonts w:cstheme="minorHAnsi"/>
        </w:rPr>
        <w:t xml:space="preserve">Furthermore, the study wanted to investigate if non-response adjustment was required, over and above calibration methods already implemented in the survey, to further reduce </w:t>
      </w:r>
      <w:r w:rsidR="005E5B5E">
        <w:rPr>
          <w:rFonts w:cstheme="minorHAnsi"/>
        </w:rPr>
        <w:t xml:space="preserve">the potential </w:t>
      </w:r>
      <w:r w:rsidR="000819A2" w:rsidRPr="00D624A6">
        <w:rPr>
          <w:rFonts w:cstheme="minorHAnsi"/>
        </w:rPr>
        <w:t xml:space="preserve">non-response bias. </w:t>
      </w:r>
    </w:p>
    <w:p w:rsidR="00454F85" w:rsidRPr="00D624A6" w:rsidRDefault="000819A2" w:rsidP="00D624A6">
      <w:pPr>
        <w:jc w:val="both"/>
        <w:rPr>
          <w:rFonts w:cstheme="minorHAnsi"/>
        </w:rPr>
      </w:pPr>
      <w:r w:rsidRPr="00D624A6">
        <w:rPr>
          <w:rFonts w:cstheme="minorHAnsi"/>
        </w:rPr>
        <w:lastRenderedPageBreak/>
        <w:t xml:space="preserve">The </w:t>
      </w:r>
      <w:r w:rsidR="00346B02" w:rsidRPr="00D624A6">
        <w:rPr>
          <w:rFonts w:cstheme="minorHAnsi"/>
        </w:rPr>
        <w:t xml:space="preserve">linked dataset </w:t>
      </w:r>
      <w:r w:rsidRPr="00D624A6">
        <w:rPr>
          <w:rFonts w:cstheme="minorHAnsi"/>
        </w:rPr>
        <w:t>showed</w:t>
      </w:r>
      <w:r w:rsidR="00346B02" w:rsidRPr="00D624A6">
        <w:rPr>
          <w:rFonts w:cstheme="minorHAnsi"/>
        </w:rPr>
        <w:t xml:space="preserve"> </w:t>
      </w:r>
      <w:r w:rsidR="005E5B5E">
        <w:rPr>
          <w:rFonts w:cstheme="minorHAnsi"/>
        </w:rPr>
        <w:t xml:space="preserve">that </w:t>
      </w:r>
      <w:r w:rsidR="00346B02" w:rsidRPr="00D624A6">
        <w:rPr>
          <w:rFonts w:cstheme="minorHAnsi"/>
        </w:rPr>
        <w:t>bias from non-response exists in the estimates of labour force status from the HLFS. The unemployment rate in the responding sample is underestimated by around 0.3</w:t>
      </w:r>
      <w:r w:rsidR="007419BA" w:rsidRPr="00D624A6">
        <w:rPr>
          <w:rFonts w:cstheme="minorHAnsi"/>
        </w:rPr>
        <w:t>%</w:t>
      </w:r>
      <w:r w:rsidR="00346B02" w:rsidRPr="00D624A6">
        <w:rPr>
          <w:rFonts w:cstheme="minorHAnsi"/>
        </w:rPr>
        <w:t xml:space="preserve"> to 0.5</w:t>
      </w:r>
      <w:r w:rsidR="007419BA" w:rsidRPr="00D624A6">
        <w:rPr>
          <w:rFonts w:cstheme="minorHAnsi"/>
        </w:rPr>
        <w:t>%</w:t>
      </w:r>
      <w:r w:rsidR="00346B02" w:rsidRPr="00D624A6">
        <w:rPr>
          <w:rFonts w:cstheme="minorHAnsi"/>
        </w:rPr>
        <w:t>, while the labour force participation rate is underestimated by around 0.2</w:t>
      </w:r>
      <w:r w:rsidR="007419BA" w:rsidRPr="00D624A6">
        <w:rPr>
          <w:rFonts w:cstheme="minorHAnsi"/>
        </w:rPr>
        <w:t>%</w:t>
      </w:r>
      <w:r w:rsidR="00346B02" w:rsidRPr="00D624A6">
        <w:rPr>
          <w:rFonts w:cstheme="minorHAnsi"/>
        </w:rPr>
        <w:t xml:space="preserve">. Unemployed people had both the highest non-contact rate and the highest refusal rate. </w:t>
      </w:r>
      <w:r w:rsidRPr="00D624A6">
        <w:rPr>
          <w:rFonts w:cstheme="minorHAnsi"/>
        </w:rPr>
        <w:t xml:space="preserve">These results, however, </w:t>
      </w:r>
      <w:r w:rsidR="00346B02" w:rsidRPr="00D624A6">
        <w:rPr>
          <w:rFonts w:cstheme="minorHAnsi"/>
        </w:rPr>
        <w:t xml:space="preserve">showed minimal impact on labour force estimates and relative sampling errors. While a non-response adjustment appears to correct for some of the bias introduced by non-response, the effect of this is within current sampling errors. </w:t>
      </w:r>
      <w:r w:rsidRPr="00D624A6">
        <w:rPr>
          <w:rFonts w:cstheme="minorHAnsi"/>
        </w:rPr>
        <w:t xml:space="preserve"> Thus, </w:t>
      </w:r>
      <w:r w:rsidR="00346B02" w:rsidRPr="00D624A6">
        <w:rPr>
          <w:rFonts w:cstheme="minorHAnsi"/>
        </w:rPr>
        <w:t>Statistics NZ has therefore abandoned a non-response adjustment step in the weighting procedure for the HLFS, and relies on calibration to adjust for some of the non-response bias that is present.</w:t>
      </w:r>
    </w:p>
    <w:p w:rsidR="00346B02" w:rsidRPr="00D624A6" w:rsidRDefault="00454F85" w:rsidP="00D624A6">
      <w:pPr>
        <w:jc w:val="both"/>
        <w:rPr>
          <w:rFonts w:cstheme="minorHAnsi"/>
        </w:rPr>
      </w:pPr>
      <w:r w:rsidRPr="008F0318">
        <w:rPr>
          <w:rFonts w:cstheme="minorHAnsi"/>
        </w:rPr>
        <w:t>The study revealed some interesting results</w:t>
      </w:r>
      <w:r w:rsidR="005E5B5E" w:rsidRPr="008F0318">
        <w:rPr>
          <w:rFonts w:cstheme="minorHAnsi"/>
        </w:rPr>
        <w:t xml:space="preserve"> with regard to data integration</w:t>
      </w:r>
      <w:r w:rsidRPr="008F0318">
        <w:rPr>
          <w:rFonts w:cstheme="minorHAnsi"/>
        </w:rPr>
        <w:t xml:space="preserve">. </w:t>
      </w:r>
      <w:r w:rsidR="00346B02" w:rsidRPr="008F0318">
        <w:rPr>
          <w:rFonts w:cstheme="minorHAnsi"/>
        </w:rPr>
        <w:t>Non-responding individuals have a lower match rate (98.0</w:t>
      </w:r>
      <w:r w:rsidR="007419BA" w:rsidRPr="008F0318">
        <w:rPr>
          <w:rFonts w:cstheme="minorHAnsi"/>
        </w:rPr>
        <w:t>%</w:t>
      </w:r>
      <w:r w:rsidR="00346B02" w:rsidRPr="008F0318">
        <w:rPr>
          <w:rFonts w:cstheme="minorHAnsi"/>
        </w:rPr>
        <w:t>, or 96.4</w:t>
      </w:r>
      <w:r w:rsidR="007419BA" w:rsidRPr="008F0318">
        <w:rPr>
          <w:rFonts w:cstheme="minorHAnsi"/>
        </w:rPr>
        <w:t>%</w:t>
      </w:r>
      <w:r w:rsidR="00346B02" w:rsidRPr="008F0318">
        <w:rPr>
          <w:rFonts w:cstheme="minorHAnsi"/>
        </w:rPr>
        <w:t xml:space="preserve"> for households) and a higher estimated </w:t>
      </w:r>
      <w:r w:rsidR="007419BA" w:rsidRPr="008F0318">
        <w:rPr>
          <w:rFonts w:cstheme="minorHAnsi"/>
        </w:rPr>
        <w:t>percent</w:t>
      </w:r>
      <w:r w:rsidR="00346B02" w:rsidRPr="008F0318">
        <w:rPr>
          <w:rFonts w:cstheme="minorHAnsi"/>
        </w:rPr>
        <w:t>age of spurious matches (27.3</w:t>
      </w:r>
      <w:r w:rsidR="007419BA" w:rsidRPr="008F0318">
        <w:rPr>
          <w:rFonts w:cstheme="minorHAnsi"/>
        </w:rPr>
        <w:t>%</w:t>
      </w:r>
      <w:r w:rsidR="00346B02" w:rsidRPr="008F0318">
        <w:rPr>
          <w:rFonts w:cstheme="minorHAnsi"/>
        </w:rPr>
        <w:t>, or 33.5</w:t>
      </w:r>
      <w:r w:rsidR="007419BA" w:rsidRPr="008F0318">
        <w:rPr>
          <w:rFonts w:cstheme="minorHAnsi"/>
        </w:rPr>
        <w:t>%</w:t>
      </w:r>
      <w:r w:rsidR="00346B02" w:rsidRPr="008F0318">
        <w:rPr>
          <w:rFonts w:cstheme="minorHAnsi"/>
        </w:rPr>
        <w:t xml:space="preserve"> for households) than respond</w:t>
      </w:r>
      <w:r w:rsidRPr="008F0318">
        <w:rPr>
          <w:rFonts w:cstheme="minorHAnsi"/>
        </w:rPr>
        <w:t xml:space="preserve">ing individuals. </w:t>
      </w:r>
      <w:r w:rsidR="005E5B5E" w:rsidRPr="008F0318">
        <w:rPr>
          <w:rFonts w:cstheme="minorHAnsi"/>
        </w:rPr>
        <w:t xml:space="preserve">These may be caused by the quality of data available from non-responding individuals. Further investigations need to be carried out for studies undertaking non-response analysis using integrated data. For the HLFS study, </w:t>
      </w:r>
      <w:r w:rsidRPr="008F0318">
        <w:rPr>
          <w:rFonts w:cstheme="minorHAnsi"/>
        </w:rPr>
        <w:t xml:space="preserve">a sensitivity analysis showed that </w:t>
      </w:r>
      <w:r w:rsidR="00346B02" w:rsidRPr="008F0318">
        <w:rPr>
          <w:rFonts w:cstheme="minorHAnsi"/>
        </w:rPr>
        <w:t xml:space="preserve">this was not </w:t>
      </w:r>
      <w:r w:rsidRPr="008F0318">
        <w:rPr>
          <w:rFonts w:cstheme="minorHAnsi"/>
        </w:rPr>
        <w:t>a problem for the non-response analysis carried out.</w:t>
      </w:r>
    </w:p>
    <w:p w:rsidR="00C5127E" w:rsidRPr="00D624A6" w:rsidRDefault="00C5127E" w:rsidP="00D624A6">
      <w:pPr>
        <w:pStyle w:val="Heading1"/>
        <w:jc w:val="both"/>
        <w:rPr>
          <w:rFonts w:asciiTheme="minorHAnsi" w:hAnsiTheme="minorHAnsi"/>
        </w:rPr>
      </w:pPr>
      <w:r w:rsidRPr="00D624A6">
        <w:rPr>
          <w:rFonts w:asciiTheme="minorHAnsi" w:hAnsiTheme="minorHAnsi" w:cs="Times New Roman"/>
          <w:szCs w:val="24"/>
        </w:rPr>
        <w:t xml:space="preserve">Determine suitability </w:t>
      </w:r>
      <w:r w:rsidRPr="00D624A6">
        <w:rPr>
          <w:rFonts w:asciiTheme="minorHAnsi" w:hAnsiTheme="minorHAnsi"/>
        </w:rPr>
        <w:t>of administrative data for census-type attribute information</w:t>
      </w:r>
    </w:p>
    <w:p w:rsidR="000B24F1" w:rsidRPr="007F7280" w:rsidRDefault="00A52DEB" w:rsidP="007F7280">
      <w:pPr>
        <w:jc w:val="both"/>
        <w:rPr>
          <w:rFonts w:cs="Times New Roman"/>
        </w:rPr>
      </w:pPr>
      <w:r w:rsidRPr="00D624A6">
        <w:rPr>
          <w:rFonts w:cstheme="minorHAnsi"/>
        </w:rPr>
        <w:t xml:space="preserve">Data integration has also been used in Statistics New Zealand’s </w:t>
      </w:r>
      <w:hyperlink r:id="rId11" w:history="1">
        <w:r w:rsidRPr="00D624A6">
          <w:rPr>
            <w:rStyle w:val="Hyperlink"/>
            <w:rFonts w:cstheme="minorHAnsi"/>
          </w:rPr>
          <w:t>Census Transformation Programme</w:t>
        </w:r>
      </w:hyperlink>
      <w:r w:rsidRPr="00D624A6">
        <w:rPr>
          <w:rFonts w:cstheme="minorHAnsi"/>
        </w:rPr>
        <w:t xml:space="preserve">. </w:t>
      </w:r>
      <w:r w:rsidRPr="00D624A6">
        <w:t xml:space="preserve">The programme is investigating </w:t>
      </w:r>
      <w:r w:rsidR="00232DA2">
        <w:t>alternative</w:t>
      </w:r>
      <w:r w:rsidRPr="00D624A6">
        <w:t xml:space="preserve"> ways of running </w:t>
      </w:r>
      <w:r w:rsidR="003D4080" w:rsidRPr="00D624A6">
        <w:rPr>
          <w:rFonts w:cstheme="minorHAnsi"/>
        </w:rPr>
        <w:t xml:space="preserve">New Zealand’s </w:t>
      </w:r>
      <w:r w:rsidR="003D4080">
        <w:rPr>
          <w:rFonts w:cstheme="minorHAnsi"/>
        </w:rPr>
        <w:t xml:space="preserve">future </w:t>
      </w:r>
      <w:r w:rsidRPr="00D624A6">
        <w:t xml:space="preserve">census. </w:t>
      </w:r>
      <w:r w:rsidR="00232DA2">
        <w:t>The programme aims</w:t>
      </w:r>
      <w:r w:rsidRPr="00D624A6">
        <w:t xml:space="preserve"> to modernise the current census model </w:t>
      </w:r>
      <w:r w:rsidR="00232DA2">
        <w:t>as well as</w:t>
      </w:r>
      <w:r w:rsidRPr="00D624A6">
        <w:t xml:space="preserve"> investigate </w:t>
      </w:r>
      <w:r w:rsidR="00232DA2">
        <w:t>different</w:t>
      </w:r>
      <w:r w:rsidRPr="00D624A6">
        <w:t xml:space="preserve"> ways of producing small-area population, social, and economic statistic</w:t>
      </w:r>
      <w:r w:rsidR="003D4080">
        <w:t>s</w:t>
      </w:r>
      <w:r w:rsidRPr="00D624A6">
        <w:t xml:space="preserve">. </w:t>
      </w:r>
      <w:r w:rsidR="00232DA2">
        <w:t>Investigations are also looking at</w:t>
      </w:r>
      <w:r w:rsidRPr="00D624A6">
        <w:t xml:space="preserve"> the feasibility </w:t>
      </w:r>
      <w:r w:rsidR="00232DA2">
        <w:t xml:space="preserve">of using </w:t>
      </w:r>
      <w:r w:rsidR="00BE3054">
        <w:t xml:space="preserve">linked </w:t>
      </w:r>
      <w:r w:rsidR="00232DA2">
        <w:t xml:space="preserve">administrative data </w:t>
      </w:r>
      <w:r w:rsidR="00BE3054">
        <w:t xml:space="preserve">to </w:t>
      </w:r>
      <w:r w:rsidR="00BE3054">
        <w:rPr>
          <w:rFonts w:cs="Times New Roman"/>
        </w:rPr>
        <w:t>replace</w:t>
      </w:r>
      <w:r w:rsidR="000D763A" w:rsidRPr="00D624A6">
        <w:rPr>
          <w:rFonts w:cs="Times New Roman"/>
        </w:rPr>
        <w:t xml:space="preserve"> census questions</w:t>
      </w:r>
      <w:r w:rsidR="00D92269">
        <w:rPr>
          <w:rFonts w:cs="Calibri"/>
          <w:color w:val="000000"/>
        </w:rPr>
        <w:t>.</w:t>
      </w:r>
      <w:r w:rsidR="00BE3054">
        <w:rPr>
          <w:rFonts w:cs="Calibri"/>
          <w:color w:val="000000"/>
        </w:rPr>
        <w:t xml:space="preserve"> Q</w:t>
      </w:r>
      <w:r w:rsidR="002B188F" w:rsidRPr="00D624A6">
        <w:rPr>
          <w:rFonts w:cs="Times New Roman"/>
        </w:rPr>
        <w:t>uality in terms of the ability of administrative data to satisfy the information needs currently met through people filling out a census questionnaire</w:t>
      </w:r>
      <w:r w:rsidR="00BE3054">
        <w:rPr>
          <w:rFonts w:cs="Times New Roman"/>
        </w:rPr>
        <w:t xml:space="preserve"> is being assessed</w:t>
      </w:r>
      <w:r w:rsidR="002B188F" w:rsidRPr="00D624A6">
        <w:rPr>
          <w:rFonts w:cs="Times New Roman"/>
        </w:rPr>
        <w:t xml:space="preserve">. </w:t>
      </w:r>
    </w:p>
    <w:p w:rsidR="007F7280" w:rsidRDefault="002B188F" w:rsidP="007F7280">
      <w:pPr>
        <w:shd w:val="clear" w:color="auto" w:fill="FFFFFF"/>
        <w:spacing w:after="0"/>
        <w:jc w:val="both"/>
        <w:outlineLvl w:val="1"/>
      </w:pPr>
      <w:r w:rsidRPr="007F7280">
        <w:rPr>
          <w:rFonts w:cs="Times New Roman"/>
        </w:rPr>
        <w:t xml:space="preserve">Statistics NZ’s quality frameworks </w:t>
      </w:r>
      <w:r w:rsidR="006B1323" w:rsidRPr="007F7280">
        <w:rPr>
          <w:rFonts w:cs="Times New Roman"/>
        </w:rPr>
        <w:t>were used as</w:t>
      </w:r>
      <w:r w:rsidRPr="007F7280">
        <w:rPr>
          <w:rFonts w:cs="Times New Roman"/>
        </w:rPr>
        <w:t xml:space="preserve"> basis of quality assessment</w:t>
      </w:r>
      <w:r w:rsidR="006B1323" w:rsidRPr="007F7280">
        <w:rPr>
          <w:rFonts w:cs="Times New Roman"/>
        </w:rPr>
        <w:t>s carried out</w:t>
      </w:r>
      <w:r w:rsidRPr="007F7280">
        <w:rPr>
          <w:rFonts w:cs="Times New Roman"/>
        </w:rPr>
        <w:t xml:space="preserve">. </w:t>
      </w:r>
      <w:r w:rsidR="006B1323" w:rsidRPr="007F7280">
        <w:t xml:space="preserve">At the highest level, Statistics NZ’s quality framework is based on six dimensions of quality widely used internationally: Relevance, Accuracy, Timeliness, Accessibility, Coherence and Consistency, Interpretability. A more detailed quality assessment process is described in </w:t>
      </w:r>
      <w:hyperlink r:id="rId12" w:history="1">
        <w:r w:rsidR="006B1323" w:rsidRPr="007F7280">
          <w:rPr>
            <w:rStyle w:val="Hyperlink"/>
            <w:rFonts w:cstheme="minorHAnsi"/>
          </w:rPr>
          <w:t>Guide to reporting the quality of administrative data</w:t>
        </w:r>
      </w:hyperlink>
      <w:r w:rsidR="006B1323" w:rsidRPr="007F7280">
        <w:t>.</w:t>
      </w:r>
      <w:r w:rsidR="00C95D23" w:rsidRPr="007F7280">
        <w:t xml:space="preserve"> The quality framework is based on Li-Chun Zhang’s </w:t>
      </w:r>
      <w:hyperlink r:id="rId13" w:history="1">
        <w:r w:rsidR="00C95D23" w:rsidRPr="007F7280">
          <w:rPr>
            <w:rStyle w:val="Hyperlink"/>
            <w:rFonts w:cs="Helvetica"/>
          </w:rPr>
          <w:t>two-phase life-cycle model for integrated statistical microdata</w:t>
        </w:r>
      </w:hyperlink>
      <w:r w:rsidR="007F7280">
        <w:rPr>
          <w:rStyle w:val="Hyperlink"/>
          <w:rFonts w:cs="Helvetica"/>
        </w:rPr>
        <w:t xml:space="preserve"> </w:t>
      </w:r>
      <w:r w:rsidR="00BF5C1B">
        <w:rPr>
          <w:rFonts w:cs="Helvetica"/>
        </w:rPr>
        <w:t>(Figure 1) w</w:t>
      </w:r>
      <w:r w:rsidR="00C95D23" w:rsidRPr="007F7280">
        <w:rPr>
          <w:rFonts w:cs="Helvetica"/>
        </w:rPr>
        <w:t>hich</w:t>
      </w:r>
      <w:r w:rsidR="00C95D23" w:rsidRPr="007F7280">
        <w:t xml:space="preserve"> expands the total survey error paradigm to include administrative data.</w:t>
      </w:r>
      <w:r w:rsidR="00C95D23" w:rsidRPr="007F7280">
        <w:rPr>
          <w:rFonts w:cs="Helvetica"/>
        </w:rPr>
        <w:t xml:space="preserve"> The framework enables </w:t>
      </w:r>
      <w:r w:rsidR="00C95D23" w:rsidRPr="007F7280">
        <w:rPr>
          <w:rFonts w:eastAsia="Calibri" w:cstheme="minorHAnsi"/>
          <w:lang w:val="en-US"/>
        </w:rPr>
        <w:t xml:space="preserve">understanding of the error sources from the individual data sources including those arising from the integrated datasets. </w:t>
      </w:r>
      <w:r w:rsidR="007F7280">
        <w:t xml:space="preserve">In the model for an administrative census, attributes will be derived from multiple administrative sources linked together at the individual level. </w:t>
      </w:r>
      <w:r w:rsidR="007F7280">
        <w:rPr>
          <w:rFonts w:eastAsia="Calibri" w:cstheme="minorHAnsi"/>
          <w:lang w:val="en-US"/>
        </w:rPr>
        <w:t>Zhang’s two-phase life-cycle model</w:t>
      </w:r>
      <w:r w:rsidR="00C95D23" w:rsidRPr="007F7280">
        <w:rPr>
          <w:rFonts w:eastAsia="Calibri" w:cstheme="minorHAnsi"/>
          <w:lang w:val="en-US"/>
        </w:rPr>
        <w:t xml:space="preserve"> assists in determining the associated methodological and operational issues that may </w:t>
      </w:r>
      <w:r w:rsidR="007F7280">
        <w:t>impact on quality resulting from producing statistical information from linked administrative data sources.</w:t>
      </w:r>
    </w:p>
    <w:p w:rsidR="00BF5C1B" w:rsidRDefault="00BF5C1B" w:rsidP="00BF5C1B">
      <w:pPr>
        <w:shd w:val="clear" w:color="auto" w:fill="FFFFFF"/>
        <w:spacing w:after="0"/>
        <w:jc w:val="both"/>
        <w:outlineLvl w:val="1"/>
        <w:rPr>
          <w:rFonts w:eastAsia="Calibri" w:cstheme="minorHAnsi"/>
          <w:lang w:val="en-US"/>
        </w:rPr>
      </w:pPr>
    </w:p>
    <w:p w:rsidR="00BF5C1B" w:rsidRDefault="00BF5C1B" w:rsidP="00BF5C1B">
      <w:pPr>
        <w:shd w:val="clear" w:color="auto" w:fill="FFFFFF"/>
        <w:spacing w:after="0"/>
        <w:jc w:val="both"/>
        <w:outlineLvl w:val="1"/>
        <w:rPr>
          <w:rFonts w:eastAsia="Calibri" w:cstheme="minorHAnsi"/>
          <w:lang w:val="en-US"/>
        </w:rPr>
      </w:pPr>
      <w:r w:rsidRPr="00E27A32">
        <w:rPr>
          <w:rFonts w:eastAsia="Calibri" w:cstheme="minorHAnsi"/>
          <w:noProof/>
          <w:lang w:eastAsia="en-NZ"/>
        </w:rPr>
        <w:lastRenderedPageBreak/>
        <w:drawing>
          <wp:inline distT="0" distB="0" distL="0" distR="0" wp14:anchorId="4974F42F" wp14:editId="26C88372">
            <wp:extent cx="3206135" cy="2140396"/>
            <wp:effectExtent l="0" t="0" r="0" b="0"/>
            <wp:docPr id="717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14350" cy="2145880"/>
                    </a:xfrm>
                    <a:prstGeom prst="rect">
                      <a:avLst/>
                    </a:prstGeom>
                    <a:noFill/>
                    <a:ln>
                      <a:noFill/>
                    </a:ln>
                    <a:effectLst/>
                    <a:extLst/>
                  </pic:spPr>
                </pic:pic>
              </a:graphicData>
            </a:graphic>
          </wp:inline>
        </w:drawing>
      </w:r>
      <w:r w:rsidRPr="00E27A32">
        <w:rPr>
          <w:noProof/>
          <w:lang w:eastAsia="en-NZ"/>
        </w:rPr>
        <w:t xml:space="preserve"> </w:t>
      </w:r>
      <w:r>
        <w:rPr>
          <w:noProof/>
          <w:lang w:eastAsia="en-NZ"/>
        </w:rPr>
        <w:t xml:space="preserve">                 </w:t>
      </w:r>
      <w:r>
        <w:rPr>
          <w:noProof/>
          <w:lang w:eastAsia="en-NZ"/>
        </w:rPr>
        <w:drawing>
          <wp:inline distT="0" distB="0" distL="0" distR="0" wp14:anchorId="7567741E" wp14:editId="1CDE9C96">
            <wp:extent cx="2777551" cy="2208609"/>
            <wp:effectExtent l="0" t="0" r="3810" b="1270"/>
            <wp:docPr id="717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71"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87501" cy="2216521"/>
                    </a:xfrm>
                    <a:prstGeom prst="rect">
                      <a:avLst/>
                    </a:prstGeom>
                    <a:noFill/>
                    <a:ln>
                      <a:noFill/>
                    </a:ln>
                    <a:effectLst/>
                    <a:extLst/>
                  </pic:spPr>
                </pic:pic>
              </a:graphicData>
            </a:graphic>
          </wp:inline>
        </w:drawing>
      </w:r>
    </w:p>
    <w:p w:rsidR="00BF5C1B" w:rsidRDefault="00BF5C1B" w:rsidP="00BF5C1B">
      <w:pPr>
        <w:shd w:val="clear" w:color="auto" w:fill="FFFFFF"/>
        <w:spacing w:after="0"/>
        <w:ind w:left="720"/>
        <w:jc w:val="both"/>
        <w:outlineLvl w:val="1"/>
        <w:rPr>
          <w:rFonts w:eastAsia="Calibri" w:cstheme="minorHAnsi"/>
          <w:lang w:val="en-US"/>
        </w:rPr>
      </w:pPr>
      <w:r>
        <w:rPr>
          <w:rFonts w:eastAsia="Calibri" w:cstheme="minorHAnsi"/>
          <w:lang w:val="en-US"/>
        </w:rPr>
        <w:t xml:space="preserve">      Phase 1 of Zhang’s framework</w:t>
      </w:r>
      <w:r>
        <w:rPr>
          <w:rFonts w:eastAsia="Calibri" w:cstheme="minorHAnsi"/>
          <w:lang w:val="en-US"/>
        </w:rPr>
        <w:tab/>
      </w:r>
      <w:r>
        <w:rPr>
          <w:rFonts w:eastAsia="Calibri" w:cstheme="minorHAnsi"/>
          <w:lang w:val="en-US"/>
        </w:rPr>
        <w:tab/>
      </w:r>
      <w:r>
        <w:rPr>
          <w:rFonts w:eastAsia="Calibri" w:cstheme="minorHAnsi"/>
          <w:lang w:val="en-US"/>
        </w:rPr>
        <w:tab/>
      </w:r>
      <w:r>
        <w:rPr>
          <w:rFonts w:eastAsia="Calibri" w:cstheme="minorHAnsi"/>
          <w:lang w:val="en-US"/>
        </w:rPr>
        <w:tab/>
        <w:t>Phase 2 of Zhang’s framework</w:t>
      </w:r>
    </w:p>
    <w:p w:rsidR="005347C1" w:rsidRDefault="00BF5C1B" w:rsidP="00BF5C1B">
      <w:pPr>
        <w:shd w:val="clear" w:color="auto" w:fill="FFFFFF"/>
        <w:spacing w:after="0"/>
        <w:jc w:val="center"/>
        <w:outlineLvl w:val="1"/>
      </w:pPr>
      <w:proofErr w:type="gramStart"/>
      <w:r>
        <w:t>Figure 1.</w:t>
      </w:r>
      <w:proofErr w:type="gramEnd"/>
      <w:r>
        <w:t xml:space="preserve"> Zhang’s two-phase life cycle model</w:t>
      </w:r>
    </w:p>
    <w:p w:rsidR="00BF5C1B" w:rsidRDefault="00BF5C1B" w:rsidP="00BF5C1B">
      <w:pPr>
        <w:shd w:val="clear" w:color="auto" w:fill="FFFFFF"/>
        <w:spacing w:after="0"/>
        <w:jc w:val="center"/>
        <w:outlineLvl w:val="1"/>
      </w:pPr>
    </w:p>
    <w:p w:rsidR="00EE5A26" w:rsidRDefault="00E144CD" w:rsidP="00EE5A26">
      <w:pPr>
        <w:shd w:val="clear" w:color="auto" w:fill="FFFFFF"/>
        <w:jc w:val="both"/>
        <w:outlineLvl w:val="1"/>
      </w:pPr>
      <w:r>
        <w:t xml:space="preserve">Although results of the investigations were mostly descriptive, </w:t>
      </w:r>
      <w:r w:rsidR="005347C1">
        <w:t xml:space="preserve">Zhang’s model was </w:t>
      </w:r>
      <w:r>
        <w:t xml:space="preserve">useful in </w:t>
      </w:r>
      <w:r w:rsidR="005347C1">
        <w:t>assess</w:t>
      </w:r>
      <w:r>
        <w:t>ing the</w:t>
      </w:r>
      <w:r w:rsidR="005347C1">
        <w:t xml:space="preserve"> differences between data from the 2013 Census with information from the administrative data sources available in Statistics NZ’s IDI. Conceptual differences in the census variables </w:t>
      </w:r>
      <w:r w:rsidR="00D11B4A">
        <w:t xml:space="preserve">and coverage differences at aggregate levels </w:t>
      </w:r>
      <w:r w:rsidR="005347C1">
        <w:t>were</w:t>
      </w:r>
      <w:r w:rsidR="00D11B4A">
        <w:t xml:space="preserve"> identified and likely reasons for the differences were determined. The </w:t>
      </w:r>
      <w:r>
        <w:t xml:space="preserve">model was also instrumental in determining areas to focus on when </w:t>
      </w:r>
      <w:r w:rsidR="00D11B4A">
        <w:t xml:space="preserve">2013 Census data linked to the IDI were compared to determine consistency between census responses provided by an individual with the values derived from the administrative data for the same person. Cross-comparisons (often in the form of two-way tables) helped understand measurement error in the census variables. Since the individual-level results </w:t>
      </w:r>
      <w:r w:rsidR="007A7AC4">
        <w:t>were</w:t>
      </w:r>
      <w:r w:rsidR="00D11B4A">
        <w:t xml:space="preserve"> based on the linked dataset, they </w:t>
      </w:r>
      <w:r w:rsidR="007A7AC4">
        <w:t>would not have been</w:t>
      </w:r>
      <w:r w:rsidR="00D11B4A">
        <w:t xml:space="preserve"> affected by differences in population. </w:t>
      </w:r>
      <w:r w:rsidR="00EE5A26">
        <w:t>Although r</w:t>
      </w:r>
      <w:r w:rsidR="00D11B4A">
        <w:t xml:space="preserve">esults may </w:t>
      </w:r>
      <w:r w:rsidR="00EE5A26">
        <w:t xml:space="preserve">have </w:t>
      </w:r>
      <w:r w:rsidR="00D11B4A">
        <w:t>be</w:t>
      </w:r>
      <w:r w:rsidR="00EE5A26">
        <w:t>en</w:t>
      </w:r>
      <w:r w:rsidR="00D11B4A">
        <w:t xml:space="preserve"> affected by linkage error between the Census and the IDI, </w:t>
      </w:r>
      <w:r w:rsidR="00EE5A26">
        <w:t>its impact may not be significant since 95%</w:t>
      </w:r>
      <w:r w:rsidR="00D11B4A">
        <w:t xml:space="preserve"> of returned 2013 Census forms were linked to the IDI with an estimated 1</w:t>
      </w:r>
      <w:r w:rsidR="00EE5A26">
        <w:t>%</w:t>
      </w:r>
      <w:r w:rsidR="00D11B4A">
        <w:t xml:space="preserve"> of </w:t>
      </w:r>
      <w:r w:rsidR="00EE5A26">
        <w:t>incorrect links.</w:t>
      </w:r>
    </w:p>
    <w:p w:rsidR="00E144CD" w:rsidRDefault="00EE5A26" w:rsidP="004F71A8">
      <w:pPr>
        <w:jc w:val="both"/>
      </w:pPr>
      <w:r>
        <w:t>One issue identified with u</w:t>
      </w:r>
      <w:r w:rsidR="00E144CD">
        <w:t xml:space="preserve">sing multiple linked administrative data </w:t>
      </w:r>
      <w:r>
        <w:t xml:space="preserve">was the </w:t>
      </w:r>
      <w:r w:rsidR="00E144CD">
        <w:t xml:space="preserve">substantive inconsistency </w:t>
      </w:r>
      <w:r>
        <w:t>in values of some variables across these datasets, e.g., ethnicity and address, when compared to census data.</w:t>
      </w:r>
    </w:p>
    <w:p w:rsidR="004F71A8" w:rsidRDefault="00232DA2" w:rsidP="007F7280">
      <w:pPr>
        <w:shd w:val="clear" w:color="auto" w:fill="FFFFFF"/>
        <w:spacing w:after="0"/>
        <w:jc w:val="both"/>
        <w:outlineLvl w:val="1"/>
      </w:pPr>
      <w:r>
        <w:rPr>
          <w:rFonts w:ascii="Calibri" w:hAnsi="Calibri" w:cs="Calibri"/>
          <w:color w:val="000000"/>
        </w:rPr>
        <w:t xml:space="preserve">More details are available from the paper </w:t>
      </w:r>
      <w:hyperlink r:id="rId16" w:history="1">
        <w:r w:rsidRPr="00D624A6">
          <w:rPr>
            <w:rStyle w:val="Hyperlink"/>
          </w:rPr>
          <w:t xml:space="preserve">Using quality frameworks to assess the potential use of administrative </w:t>
        </w:r>
        <w:r w:rsidRPr="00D624A6">
          <w:rPr>
            <w:rStyle w:val="Hyperlink"/>
          </w:rPr>
          <w:br/>
          <w:t>sources in the census</w:t>
        </w:r>
      </w:hyperlink>
      <w:r w:rsidRPr="00D624A6">
        <w:t xml:space="preserve">. </w:t>
      </w:r>
    </w:p>
    <w:p w:rsidR="00723703" w:rsidRDefault="004F71A8" w:rsidP="004F71A8">
      <w:pPr>
        <w:pStyle w:val="Heading1"/>
      </w:pPr>
      <w:r>
        <w:t>Summary</w:t>
      </w:r>
    </w:p>
    <w:p w:rsidR="00D1592F" w:rsidRPr="001823AE" w:rsidRDefault="00723703" w:rsidP="00D1592F">
      <w:pPr>
        <w:spacing w:after="0"/>
        <w:jc w:val="both"/>
        <w:rPr>
          <w:rFonts w:cstheme="minorHAnsi"/>
        </w:rPr>
      </w:pPr>
      <w:r>
        <w:rPr>
          <w:rFonts w:cstheme="minorHAnsi"/>
        </w:rPr>
        <w:t xml:space="preserve">Statistics NZ has used data integration for various </w:t>
      </w:r>
      <w:r w:rsidR="00182535">
        <w:rPr>
          <w:rFonts w:cstheme="minorHAnsi"/>
        </w:rPr>
        <w:t>purposes</w:t>
      </w:r>
      <w:r>
        <w:rPr>
          <w:rFonts w:cstheme="minorHAnsi"/>
        </w:rPr>
        <w:t xml:space="preserve">, </w:t>
      </w:r>
      <w:r w:rsidRPr="00F9502B">
        <w:rPr>
          <w:rFonts w:cstheme="minorHAnsi"/>
        </w:rPr>
        <w:t>including its use for validating statistics</w:t>
      </w:r>
      <w:r>
        <w:rPr>
          <w:rFonts w:cstheme="minorHAnsi"/>
        </w:rPr>
        <w:t xml:space="preserve">, since the beginning of the 1990’s. </w:t>
      </w:r>
      <w:r w:rsidR="00D1592F" w:rsidRPr="001823AE">
        <w:rPr>
          <w:rFonts w:cstheme="minorHAnsi"/>
        </w:rPr>
        <w:t>Issues identified with use of administrative data to validate official statistics include the following:</w:t>
      </w:r>
    </w:p>
    <w:p w:rsidR="00D1592F" w:rsidRPr="00F00540" w:rsidRDefault="00D1592F" w:rsidP="00D1592F">
      <w:pPr>
        <w:pStyle w:val="ListParagraph"/>
        <w:numPr>
          <w:ilvl w:val="0"/>
          <w:numId w:val="7"/>
        </w:numPr>
        <w:spacing w:after="0"/>
        <w:jc w:val="both"/>
        <w:rPr>
          <w:rFonts w:eastAsia="Times New Roman" w:cstheme="minorHAnsi"/>
          <w:lang w:eastAsia="en-NZ"/>
        </w:rPr>
      </w:pPr>
      <w:r w:rsidRPr="001823AE">
        <w:rPr>
          <w:rFonts w:eastAsia="Times New Roman" w:cstheme="minorHAnsi"/>
          <w:lang w:eastAsia="en-NZ"/>
        </w:rPr>
        <w:t>The need of standardised processes which are responsive to administrative changes in the data supplied and to new administrative data available to Statistics NZ.</w:t>
      </w:r>
      <w:r w:rsidRPr="001823AE">
        <w:t xml:space="preserve"> </w:t>
      </w:r>
    </w:p>
    <w:p w:rsidR="00F00540" w:rsidRPr="00D624A6" w:rsidRDefault="00F00540" w:rsidP="00F00540">
      <w:pPr>
        <w:pStyle w:val="ListParagraph"/>
        <w:numPr>
          <w:ilvl w:val="0"/>
          <w:numId w:val="15"/>
        </w:numPr>
        <w:jc w:val="both"/>
        <w:rPr>
          <w:rFonts w:cstheme="minorHAnsi"/>
        </w:rPr>
      </w:pPr>
      <w:r w:rsidRPr="00D624A6">
        <w:rPr>
          <w:rFonts w:cstheme="minorHAnsi"/>
        </w:rPr>
        <w:t>Timeliness of administrative data</w:t>
      </w:r>
      <w:r w:rsidRPr="001823AE">
        <w:rPr>
          <w:rFonts w:eastAsia="Times New Roman" w:cstheme="minorHAnsi"/>
          <w:lang w:eastAsia="en-NZ"/>
        </w:rPr>
        <w:t>, unless receipt of data are common and regular.</w:t>
      </w:r>
      <w:r>
        <w:rPr>
          <w:rFonts w:eastAsia="Times New Roman" w:cstheme="minorHAnsi"/>
          <w:lang w:eastAsia="en-NZ"/>
        </w:rPr>
        <w:t xml:space="preserve"> </w:t>
      </w:r>
      <w:r w:rsidRPr="001823AE">
        <w:rPr>
          <w:rFonts w:eastAsia="Times New Roman" w:cstheme="minorHAnsi"/>
          <w:lang w:eastAsia="en-NZ"/>
        </w:rPr>
        <w:t xml:space="preserve">This will always be an issue for linked datasets and for statistics produced from these datasets. </w:t>
      </w:r>
      <w:r w:rsidRPr="00D624A6">
        <w:rPr>
          <w:rFonts w:cstheme="minorHAnsi"/>
        </w:rPr>
        <w:t xml:space="preserve"> These include:</w:t>
      </w:r>
    </w:p>
    <w:p w:rsidR="00F00540" w:rsidRDefault="000D7EC4" w:rsidP="00F00540">
      <w:pPr>
        <w:pStyle w:val="ListParagraph"/>
        <w:numPr>
          <w:ilvl w:val="0"/>
          <w:numId w:val="23"/>
        </w:numPr>
        <w:jc w:val="both"/>
        <w:rPr>
          <w:rFonts w:cstheme="minorHAnsi"/>
        </w:rPr>
      </w:pPr>
      <w:r>
        <w:rPr>
          <w:rFonts w:cstheme="minorHAnsi"/>
        </w:rPr>
        <w:t>The promptness in</w:t>
      </w:r>
      <w:r w:rsidR="00F00540" w:rsidRPr="00F00540">
        <w:rPr>
          <w:rFonts w:cstheme="minorHAnsi"/>
        </w:rPr>
        <w:t xml:space="preserve"> picking up </w:t>
      </w:r>
      <w:r w:rsidR="00F00540">
        <w:rPr>
          <w:rFonts w:cstheme="minorHAnsi"/>
        </w:rPr>
        <w:t>birthed units to an administrative data source</w:t>
      </w:r>
      <w:r w:rsidR="00F00540" w:rsidRPr="00F00540">
        <w:rPr>
          <w:rFonts w:cstheme="minorHAnsi"/>
        </w:rPr>
        <w:t xml:space="preserve">. A high number of </w:t>
      </w:r>
      <w:r w:rsidR="00F00540">
        <w:rPr>
          <w:rFonts w:cstheme="minorHAnsi"/>
        </w:rPr>
        <w:t>birthed units</w:t>
      </w:r>
      <w:r w:rsidR="00F00540" w:rsidRPr="00F00540">
        <w:rPr>
          <w:rFonts w:cstheme="minorHAnsi"/>
        </w:rPr>
        <w:t xml:space="preserve"> not picked </w:t>
      </w:r>
      <w:r>
        <w:rPr>
          <w:rFonts w:cstheme="minorHAnsi"/>
        </w:rPr>
        <w:t xml:space="preserve">up quickly </w:t>
      </w:r>
      <w:r w:rsidR="00F00540" w:rsidRPr="00F00540">
        <w:rPr>
          <w:rFonts w:cstheme="minorHAnsi"/>
        </w:rPr>
        <w:t>enough by administrative data leads to potential bias in official statistics.</w:t>
      </w:r>
    </w:p>
    <w:p w:rsidR="00F00540" w:rsidRPr="00F00540" w:rsidRDefault="00F00540" w:rsidP="00F00540">
      <w:pPr>
        <w:pStyle w:val="ListParagraph"/>
        <w:numPr>
          <w:ilvl w:val="0"/>
          <w:numId w:val="23"/>
        </w:numPr>
        <w:jc w:val="both"/>
        <w:rPr>
          <w:rFonts w:eastAsia="Times New Roman" w:cstheme="minorHAnsi"/>
          <w:lang w:eastAsia="en-NZ"/>
        </w:rPr>
      </w:pPr>
      <w:r w:rsidRPr="00F00540">
        <w:rPr>
          <w:rFonts w:cstheme="minorHAnsi"/>
        </w:rPr>
        <w:t>Timing issues around getting the linking accomplished in time for production</w:t>
      </w:r>
    </w:p>
    <w:p w:rsidR="00D1592F" w:rsidRPr="00F00540" w:rsidRDefault="00D1592F" w:rsidP="00F00540">
      <w:pPr>
        <w:pStyle w:val="ListParagraph"/>
        <w:numPr>
          <w:ilvl w:val="0"/>
          <w:numId w:val="15"/>
        </w:numPr>
        <w:jc w:val="both"/>
        <w:rPr>
          <w:rFonts w:eastAsia="Times New Roman" w:cstheme="minorHAnsi"/>
          <w:lang w:eastAsia="en-NZ"/>
        </w:rPr>
      </w:pPr>
      <w:r w:rsidRPr="001823AE">
        <w:lastRenderedPageBreak/>
        <w:t>Coverage errors and measurement error</w:t>
      </w:r>
      <w:r w:rsidR="009D7F6E">
        <w:t>s</w:t>
      </w:r>
      <w:r w:rsidRPr="001823AE">
        <w:t xml:space="preserve"> typically occur for quite different reasons, and suggest quite different approaches to improving quality. Only some of these are within the control of the administrative agencies. Several main causes of coverage error have emerged, and with them different possible solutions. </w:t>
      </w:r>
    </w:p>
    <w:p w:rsidR="00F00540" w:rsidRDefault="00D1592F" w:rsidP="00F00540">
      <w:pPr>
        <w:pStyle w:val="ListParagraph"/>
        <w:numPr>
          <w:ilvl w:val="0"/>
          <w:numId w:val="7"/>
        </w:numPr>
        <w:spacing w:after="0"/>
        <w:jc w:val="both"/>
        <w:rPr>
          <w:rFonts w:eastAsia="Times New Roman" w:cstheme="minorHAnsi"/>
          <w:lang w:eastAsia="en-NZ"/>
        </w:rPr>
      </w:pPr>
      <w:r w:rsidRPr="001823AE">
        <w:rPr>
          <w:rFonts w:eastAsia="Times New Roman" w:cstheme="minorHAnsi"/>
          <w:lang w:eastAsia="en-NZ"/>
        </w:rPr>
        <w:t xml:space="preserve">A common editing issue with linked datasets is inconsistencies in the records linked. Where inconsistencies occur in records linked from two different data sources, it is important to know which of the two data sources is more reliable. Sometimes, even the order in which the datasets are linked is important in determining where an inconsistency arose. It is expected that as the number of datasets being linked together increases, the potential for efficiencies in detecting and treating inconsistencies in records increase as the number of variables increase. However, this may also increase the amount of editing required for the linked datasets. Issues to be addressed by an editing strategy for linked datasets can be summarised by its ability to: edit inconsistencies from the same unit from different sources, treat erroneous and missing variables in a record and ensure consistency in variables across a record for a time period and over time. </w:t>
      </w:r>
    </w:p>
    <w:p w:rsidR="00F00540" w:rsidRDefault="008F0318" w:rsidP="008C10EC">
      <w:pPr>
        <w:pStyle w:val="ListParagraph"/>
        <w:numPr>
          <w:ilvl w:val="0"/>
          <w:numId w:val="15"/>
        </w:numPr>
        <w:spacing w:after="0"/>
        <w:jc w:val="both"/>
        <w:rPr>
          <w:rFonts w:cstheme="minorHAnsi"/>
        </w:rPr>
      </w:pPr>
      <w:r w:rsidRPr="00F00540">
        <w:rPr>
          <w:rFonts w:cstheme="minorHAnsi"/>
        </w:rPr>
        <w:t xml:space="preserve">Some key statistics are not available from existing sources of data. </w:t>
      </w:r>
    </w:p>
    <w:p w:rsidR="008F0318" w:rsidRPr="00F00540" w:rsidRDefault="008F0318" w:rsidP="008C10EC">
      <w:pPr>
        <w:pStyle w:val="ListParagraph"/>
        <w:numPr>
          <w:ilvl w:val="0"/>
          <w:numId w:val="15"/>
        </w:numPr>
        <w:spacing w:after="0"/>
        <w:jc w:val="both"/>
        <w:rPr>
          <w:rFonts w:cstheme="minorHAnsi"/>
        </w:rPr>
      </w:pPr>
      <w:r w:rsidRPr="00F00540">
        <w:rPr>
          <w:rFonts w:cstheme="minorHAnsi"/>
        </w:rPr>
        <w:t>Sources of potential bias have been identified</w:t>
      </w:r>
      <w:r w:rsidR="00F00540">
        <w:rPr>
          <w:rFonts w:cstheme="minorHAnsi"/>
        </w:rPr>
        <w:t xml:space="preserve"> with regard to integrating datasets</w:t>
      </w:r>
      <w:r w:rsidRPr="00F00540">
        <w:rPr>
          <w:rFonts w:cstheme="minorHAnsi"/>
        </w:rPr>
        <w:t>. These include:</w:t>
      </w:r>
    </w:p>
    <w:p w:rsidR="008F0318" w:rsidRPr="00D624A6" w:rsidRDefault="008F0318" w:rsidP="008F0318">
      <w:pPr>
        <w:pStyle w:val="ListParagraph"/>
        <w:numPr>
          <w:ilvl w:val="0"/>
          <w:numId w:val="21"/>
        </w:numPr>
        <w:spacing w:after="0"/>
        <w:jc w:val="both"/>
        <w:rPr>
          <w:rFonts w:cstheme="minorHAnsi"/>
        </w:rPr>
      </w:pPr>
      <w:r w:rsidRPr="00D624A6">
        <w:rPr>
          <w:rFonts w:cstheme="minorHAnsi"/>
        </w:rPr>
        <w:t xml:space="preserve">Coverage and conceptual issues </w:t>
      </w:r>
      <w:r w:rsidR="00F00540">
        <w:rPr>
          <w:rFonts w:cstheme="minorHAnsi"/>
        </w:rPr>
        <w:t>may only apply for some groups of a population so care should be taken in generalising results.</w:t>
      </w:r>
    </w:p>
    <w:p w:rsidR="008F0318" w:rsidRPr="00D624A6" w:rsidRDefault="00F00540" w:rsidP="008F0318">
      <w:pPr>
        <w:pStyle w:val="ListParagraph"/>
        <w:numPr>
          <w:ilvl w:val="0"/>
          <w:numId w:val="21"/>
        </w:numPr>
        <w:spacing w:after="0"/>
        <w:jc w:val="both"/>
        <w:rPr>
          <w:rFonts w:cstheme="minorHAnsi"/>
        </w:rPr>
      </w:pPr>
      <w:r>
        <w:rPr>
          <w:rFonts w:cstheme="minorHAnsi"/>
        </w:rPr>
        <w:t xml:space="preserve">Some variables have the potential to affect the quality of linking and may be a source for </w:t>
      </w:r>
      <w:r w:rsidR="008F0318" w:rsidRPr="00D624A6">
        <w:rPr>
          <w:rFonts w:cstheme="minorHAnsi"/>
        </w:rPr>
        <w:t xml:space="preserve">potential </w:t>
      </w:r>
      <w:r>
        <w:rPr>
          <w:rFonts w:cstheme="minorHAnsi"/>
        </w:rPr>
        <w:t>bias in carrying out analysis on resulting datasets. Investigations on linkage rates across different subpopulations may be required.</w:t>
      </w:r>
    </w:p>
    <w:p w:rsidR="008F0318" w:rsidRPr="00D624A6" w:rsidRDefault="00F00540" w:rsidP="008F0318">
      <w:pPr>
        <w:pStyle w:val="ListParagraph"/>
        <w:numPr>
          <w:ilvl w:val="0"/>
          <w:numId w:val="15"/>
        </w:numPr>
        <w:jc w:val="both"/>
        <w:rPr>
          <w:rFonts w:cstheme="minorHAnsi"/>
        </w:rPr>
      </w:pPr>
      <w:r>
        <w:rPr>
          <w:rFonts w:cstheme="minorHAnsi"/>
        </w:rPr>
        <w:t xml:space="preserve">The use of linked datasets even for validation purposes may </w:t>
      </w:r>
      <w:r w:rsidR="008F0318" w:rsidRPr="00D624A6">
        <w:rPr>
          <w:rFonts w:cstheme="minorHAnsi"/>
        </w:rPr>
        <w:t>result in a break in the data series that needs to be managed</w:t>
      </w:r>
    </w:p>
    <w:p w:rsidR="00F00540" w:rsidRPr="00145CBE" w:rsidRDefault="008F0318" w:rsidP="00F00540">
      <w:pPr>
        <w:pStyle w:val="ListParagraph"/>
        <w:numPr>
          <w:ilvl w:val="0"/>
          <w:numId w:val="15"/>
        </w:numPr>
        <w:jc w:val="both"/>
      </w:pPr>
      <w:r w:rsidRPr="00D624A6">
        <w:rPr>
          <w:rFonts w:cstheme="minorHAnsi"/>
        </w:rPr>
        <w:t>Backwards and forward casting of the link especially for longitudinal data. A person may link in one quarter but not in another due to data quality reasons (or may link to a different record).</w:t>
      </w:r>
    </w:p>
    <w:p w:rsidR="009D7F6E" w:rsidRDefault="00145CBE" w:rsidP="00145CBE">
      <w:pPr>
        <w:pStyle w:val="ListParagraph"/>
        <w:numPr>
          <w:ilvl w:val="0"/>
          <w:numId w:val="15"/>
        </w:numPr>
        <w:spacing w:after="0" w:line="240" w:lineRule="auto"/>
        <w:jc w:val="both"/>
        <w:rPr>
          <w:rFonts w:cstheme="minorHAnsi"/>
          <w:bCs/>
        </w:rPr>
      </w:pPr>
      <w:r w:rsidRPr="009D7F6E">
        <w:rPr>
          <w:rFonts w:cstheme="minorHAnsi"/>
          <w:bCs/>
        </w:rPr>
        <w:t>Need for a weight to adjust for missed links</w:t>
      </w:r>
    </w:p>
    <w:p w:rsidR="00145CBE" w:rsidRPr="009D7F6E" w:rsidRDefault="00145CBE" w:rsidP="00145CBE">
      <w:pPr>
        <w:pStyle w:val="ListParagraph"/>
        <w:numPr>
          <w:ilvl w:val="0"/>
          <w:numId w:val="15"/>
        </w:numPr>
        <w:spacing w:after="0" w:line="240" w:lineRule="auto"/>
        <w:jc w:val="both"/>
        <w:rPr>
          <w:rFonts w:cstheme="minorHAnsi"/>
          <w:bCs/>
        </w:rPr>
      </w:pPr>
      <w:r w:rsidRPr="009D7F6E">
        <w:rPr>
          <w:rFonts w:cstheme="minorHAnsi"/>
          <w:bCs/>
        </w:rPr>
        <w:t>Methods to better estimate linkage errors are required to determine models appropriate to account for these linkage errors. Linkage errors contribute to potential coverage errors in the resulting target population. Care should also be undertaken when creating statistical units from integrated datasets wherein one dataset is sourced from an administrative dataset since the unit may be defined differently in the administrative dataset.</w:t>
      </w:r>
    </w:p>
    <w:p w:rsidR="00145CBE" w:rsidRPr="00F00540" w:rsidRDefault="00145CBE" w:rsidP="00F00540">
      <w:pPr>
        <w:pStyle w:val="ListParagraph"/>
        <w:numPr>
          <w:ilvl w:val="0"/>
          <w:numId w:val="15"/>
        </w:numPr>
        <w:spacing w:after="0" w:line="240" w:lineRule="auto"/>
        <w:jc w:val="both"/>
      </w:pPr>
      <w:r w:rsidRPr="00145CBE">
        <w:rPr>
          <w:rFonts w:cstheme="minorHAnsi"/>
          <w:bCs/>
        </w:rPr>
        <w:t>Administrative data may suffer from measurement errors, e.g., validity error, and these errors propagate when the administrative data is integrated with other data sources to produce a statistical output. Hence, target concepts used in an administrative dataset should be well understood before being used in the production of official statistics.</w:t>
      </w:r>
    </w:p>
    <w:p w:rsidR="00D1592F" w:rsidRPr="00D624A6" w:rsidRDefault="00D1592F" w:rsidP="00F00540">
      <w:pPr>
        <w:pStyle w:val="Heading1"/>
      </w:pPr>
      <w:r w:rsidRPr="00D624A6">
        <w:t xml:space="preserve">Recommendations </w:t>
      </w:r>
    </w:p>
    <w:p w:rsidR="00965C40" w:rsidRPr="00965C40" w:rsidRDefault="00965C40" w:rsidP="00041770">
      <w:pPr>
        <w:pStyle w:val="ListParagraph"/>
        <w:numPr>
          <w:ilvl w:val="0"/>
          <w:numId w:val="24"/>
        </w:numPr>
        <w:spacing w:after="0"/>
        <w:jc w:val="both"/>
        <w:rPr>
          <w:rFonts w:cstheme="minorHAnsi"/>
        </w:rPr>
      </w:pPr>
      <w:r w:rsidRPr="00965C40">
        <w:rPr>
          <w:rFonts w:cstheme="minorHAnsi"/>
        </w:rPr>
        <w:t>The</w:t>
      </w:r>
      <w:r w:rsidR="00D1592F" w:rsidRPr="00965C40">
        <w:rPr>
          <w:rFonts w:cstheme="minorHAnsi"/>
        </w:rPr>
        <w:t xml:space="preserve"> quality </w:t>
      </w:r>
      <w:r w:rsidRPr="00965C40">
        <w:rPr>
          <w:rFonts w:cstheme="minorHAnsi"/>
        </w:rPr>
        <w:t xml:space="preserve">assessment </w:t>
      </w:r>
      <w:r w:rsidR="00D1592F" w:rsidRPr="00965C40">
        <w:rPr>
          <w:rFonts w:cstheme="minorHAnsi"/>
        </w:rPr>
        <w:t xml:space="preserve">framework </w:t>
      </w:r>
      <w:r w:rsidRPr="00D2523F">
        <w:t xml:space="preserve">described in </w:t>
      </w:r>
      <w:hyperlink r:id="rId17" w:history="1">
        <w:r w:rsidRPr="00965C40">
          <w:rPr>
            <w:rStyle w:val="Hyperlink"/>
            <w:rFonts w:cstheme="minorHAnsi"/>
          </w:rPr>
          <w:t>Guide to reporting the quality of administrative data</w:t>
        </w:r>
      </w:hyperlink>
      <w:r w:rsidRPr="00965C40">
        <w:rPr>
          <w:rStyle w:val="Hyperlink"/>
          <w:rFonts w:cstheme="minorHAnsi"/>
        </w:rPr>
        <w:t xml:space="preserve"> </w:t>
      </w:r>
      <w:r w:rsidR="00D1592F" w:rsidRPr="00965C40">
        <w:rPr>
          <w:rFonts w:cstheme="minorHAnsi"/>
        </w:rPr>
        <w:t xml:space="preserve">is beneficial in </w:t>
      </w:r>
      <w:r w:rsidRPr="00965C40">
        <w:rPr>
          <w:rFonts w:cstheme="minorHAnsi"/>
        </w:rPr>
        <w:t>carrying out validation studies</w:t>
      </w:r>
      <w:r w:rsidR="00D1592F" w:rsidRPr="00D624A6">
        <w:t xml:space="preserve">. </w:t>
      </w:r>
      <w:r>
        <w:t xml:space="preserve"> </w:t>
      </w:r>
      <w:r w:rsidRPr="00965C40">
        <w:rPr>
          <w:rFonts w:cstheme="minorHAnsi"/>
        </w:rPr>
        <w:t>The quality assessment involves 3 steps.</w:t>
      </w:r>
    </w:p>
    <w:p w:rsidR="00965C40" w:rsidRPr="00D2523F" w:rsidRDefault="00965C40" w:rsidP="00041770">
      <w:pPr>
        <w:spacing w:after="160"/>
        <w:ind w:left="720"/>
        <w:jc w:val="both"/>
        <w:rPr>
          <w:rFonts w:cstheme="minorHAnsi"/>
        </w:rPr>
      </w:pPr>
      <w:r w:rsidRPr="00D2523F">
        <w:rPr>
          <w:rFonts w:cstheme="minorHAnsi"/>
          <w:b/>
        </w:rPr>
        <w:t>Step 1: Initial metadata collation:</w:t>
      </w:r>
      <w:r w:rsidRPr="00D2523F">
        <w:rPr>
          <w:rFonts w:cstheme="minorHAnsi"/>
        </w:rPr>
        <w:t xml:space="preserve"> Basic information is collected about each of the source datasets </w:t>
      </w:r>
      <w:r>
        <w:rPr>
          <w:rFonts w:cstheme="minorHAnsi"/>
        </w:rPr>
        <w:t>used in the validation project</w:t>
      </w:r>
      <w:r w:rsidRPr="00D2523F">
        <w:rPr>
          <w:rFonts w:cstheme="minorHAnsi"/>
        </w:rPr>
        <w:t>. The information relates to the source agency, purpose of the data col</w:t>
      </w:r>
      <w:r>
        <w:rPr>
          <w:rFonts w:cstheme="minorHAnsi"/>
        </w:rPr>
        <w:t>lection, populations, variables and</w:t>
      </w:r>
      <w:r w:rsidRPr="00D2523F">
        <w:rPr>
          <w:rFonts w:cstheme="minorHAnsi"/>
        </w:rPr>
        <w:t xml:space="preserve"> timeliness of the data</w:t>
      </w:r>
      <w:r>
        <w:rPr>
          <w:rFonts w:cstheme="minorHAnsi"/>
        </w:rPr>
        <w:t>.</w:t>
      </w:r>
    </w:p>
    <w:p w:rsidR="00965C40" w:rsidRPr="00D2523F" w:rsidRDefault="00965C40" w:rsidP="00041770">
      <w:pPr>
        <w:spacing w:after="160"/>
        <w:ind w:left="720"/>
        <w:jc w:val="both"/>
        <w:rPr>
          <w:rFonts w:cstheme="minorHAnsi"/>
        </w:rPr>
      </w:pPr>
      <w:r w:rsidRPr="00D2523F">
        <w:rPr>
          <w:rFonts w:cstheme="minorHAnsi"/>
          <w:b/>
        </w:rPr>
        <w:t>Step 2: Phase 1 evaluation:</w:t>
      </w:r>
      <w:r w:rsidRPr="00D2523F">
        <w:rPr>
          <w:rFonts w:cstheme="minorHAnsi"/>
        </w:rPr>
        <w:t xml:space="preserve"> Errors occurring in phase 1 of the quality framework are determined and categorised for each source dataset. This involves detailed consideration of how the methods, purpose, known issues, and other aspects of the original data collection contribute to each of the specific error categories in the phase 1 flow chart in figure 1.</w:t>
      </w:r>
    </w:p>
    <w:p w:rsidR="00D1592F" w:rsidRPr="00D624A6" w:rsidRDefault="00965C40" w:rsidP="00041770">
      <w:pPr>
        <w:spacing w:after="0"/>
        <w:ind w:left="720"/>
        <w:jc w:val="both"/>
        <w:rPr>
          <w:rFonts w:cstheme="minorHAnsi"/>
        </w:rPr>
      </w:pPr>
      <w:r w:rsidRPr="00D2523F">
        <w:rPr>
          <w:rFonts w:cstheme="minorHAnsi"/>
          <w:b/>
        </w:rPr>
        <w:t>Step 3: Phase 2 evaluation:</w:t>
      </w:r>
      <w:r w:rsidRPr="00D2523F">
        <w:rPr>
          <w:rFonts w:cstheme="minorHAnsi"/>
        </w:rPr>
        <w:t xml:space="preserve"> As for the previous step, errors arising in phase 2 of the quality framework are listed and examined in a similar way, taking into account the dataset(s) being integrated to produce the final </w:t>
      </w:r>
      <w:r w:rsidRPr="00D2523F">
        <w:rPr>
          <w:rFonts w:cstheme="minorHAnsi"/>
        </w:rPr>
        <w:lastRenderedPageBreak/>
        <w:t>output. These errors are considered with respect to the intended statistical target concepts and population. The effects of phase 1 errors on the creation of statistical units, or the particular details of the misalignment between concepts on different datasets, must be understood.</w:t>
      </w:r>
    </w:p>
    <w:p w:rsidR="00145CBE" w:rsidRPr="00145CBE" w:rsidRDefault="00145CBE" w:rsidP="00652BAA">
      <w:pPr>
        <w:pStyle w:val="ListParagraph"/>
        <w:numPr>
          <w:ilvl w:val="0"/>
          <w:numId w:val="19"/>
        </w:numPr>
        <w:spacing w:after="0"/>
        <w:jc w:val="both"/>
        <w:rPr>
          <w:b/>
          <w:u w:val="single"/>
        </w:rPr>
      </w:pPr>
      <w:r w:rsidRPr="00145CBE">
        <w:rPr>
          <w:rFonts w:eastAsia="Calibri" w:cstheme="minorHAnsi"/>
          <w:lang w:val="en-US"/>
        </w:rPr>
        <w:t>Understanding the error sources from the input data sources, including those arising from the linked datasets, is essential in determining the associated methodological and operational issues that may limit the use of administrative data in the validation of official statistics.</w:t>
      </w:r>
    </w:p>
    <w:p w:rsidR="004F71A8" w:rsidRDefault="00D1592F" w:rsidP="007D5BC9">
      <w:pPr>
        <w:pStyle w:val="ListParagraph"/>
        <w:numPr>
          <w:ilvl w:val="0"/>
          <w:numId w:val="19"/>
        </w:numPr>
        <w:jc w:val="both"/>
      </w:pPr>
      <w:r w:rsidRPr="00D624A6">
        <w:t xml:space="preserve">The key quality dimension to use is accuracy. </w:t>
      </w:r>
      <w:r w:rsidRPr="00C64C65">
        <w:rPr>
          <w:rFonts w:cstheme="minorHAnsi"/>
        </w:rPr>
        <w:t>The normalised root mean square error is a useful tool to evaluate the accuracy of statistics sourced from integrated datasets</w:t>
      </w:r>
      <w:r w:rsidR="00DC2D59">
        <w:rPr>
          <w:rFonts w:cstheme="minorHAnsi"/>
        </w:rPr>
        <w:t>.</w:t>
      </w:r>
      <w:r w:rsidR="004F71A8">
        <w:t xml:space="preserve"> </w:t>
      </w:r>
    </w:p>
    <w:p w:rsidR="00AF61A0" w:rsidRPr="00D624A6" w:rsidRDefault="00AF61A0" w:rsidP="00D624A6">
      <w:pPr>
        <w:pStyle w:val="Heading1"/>
        <w:jc w:val="both"/>
        <w:rPr>
          <w:rFonts w:asciiTheme="minorHAnsi" w:hAnsiTheme="minorHAnsi"/>
          <w:shd w:val="clear" w:color="auto" w:fill="FFFFFF"/>
        </w:rPr>
      </w:pPr>
      <w:r w:rsidRPr="00D624A6">
        <w:rPr>
          <w:rFonts w:asciiTheme="minorHAnsi" w:hAnsiTheme="minorHAnsi"/>
          <w:shd w:val="clear" w:color="auto" w:fill="FFFFFF"/>
        </w:rPr>
        <w:t xml:space="preserve">References: </w:t>
      </w:r>
    </w:p>
    <w:p w:rsidR="001518BD" w:rsidRDefault="001518BD" w:rsidP="00F62037">
      <w:r w:rsidRPr="00D624A6">
        <w:t xml:space="preserve">Bycroft, C. 2016. </w:t>
      </w:r>
      <w:hyperlink r:id="rId18" w:history="1">
        <w:r w:rsidRPr="00D624A6">
          <w:rPr>
            <w:rStyle w:val="Hyperlink"/>
          </w:rPr>
          <w:t xml:space="preserve">Using quality frameworks to assess the potential use of administrative </w:t>
        </w:r>
        <w:r w:rsidR="00F62037">
          <w:rPr>
            <w:rStyle w:val="Hyperlink"/>
          </w:rPr>
          <w:t xml:space="preserve"> </w:t>
        </w:r>
        <w:r w:rsidRPr="00D624A6">
          <w:rPr>
            <w:rStyle w:val="Hyperlink"/>
          </w:rPr>
          <w:t>sources in the census</w:t>
        </w:r>
      </w:hyperlink>
      <w:r w:rsidRPr="00D624A6">
        <w:t xml:space="preserve">. </w:t>
      </w:r>
      <w:r w:rsidR="00F62037" w:rsidRPr="00F62037">
        <w:rPr>
          <w:rFonts w:eastAsia="Times New Roman" w:cstheme="minorHAnsi"/>
          <w:lang w:eastAsia="en-NZ"/>
        </w:rPr>
        <w:t xml:space="preserve">Paper presented at the </w:t>
      </w:r>
      <w:r w:rsidR="00F62037">
        <w:rPr>
          <w:rFonts w:eastAsia="Times New Roman" w:cstheme="minorHAnsi"/>
          <w:lang w:eastAsia="en-NZ"/>
        </w:rPr>
        <w:t>2016 International Total Survey Error Workshop, Sydney, Australia.</w:t>
      </w:r>
    </w:p>
    <w:p w:rsidR="00971232" w:rsidRPr="00971232" w:rsidRDefault="00971232" w:rsidP="00B5221D">
      <w:pPr>
        <w:spacing w:line="240" w:lineRule="auto"/>
        <w:jc w:val="both"/>
        <w:rPr>
          <w:bCs/>
          <w:spacing w:val="-5"/>
        </w:rPr>
      </w:pPr>
      <w:r w:rsidRPr="00971232">
        <w:rPr>
          <w:bCs/>
          <w:spacing w:val="-5"/>
        </w:rPr>
        <w:t>Hall</w:t>
      </w:r>
      <w:r w:rsidR="003E7C39">
        <w:rPr>
          <w:bCs/>
          <w:spacing w:val="-5"/>
        </w:rPr>
        <w:t>, J.</w:t>
      </w:r>
      <w:r w:rsidRPr="00971232">
        <w:rPr>
          <w:bCs/>
          <w:spacing w:val="-5"/>
        </w:rPr>
        <w:t xml:space="preserve"> and Anand-Kumar, V. </w:t>
      </w:r>
      <w:r>
        <w:rPr>
          <w:bCs/>
          <w:spacing w:val="-5"/>
        </w:rPr>
        <w:t xml:space="preserve"> 2014. </w:t>
      </w:r>
      <w:hyperlink r:id="rId19" w:history="1">
        <w:r w:rsidRPr="003E7C39">
          <w:rPr>
            <w:rStyle w:val="Hyperlink"/>
            <w:bCs/>
            <w:spacing w:val="-5"/>
          </w:rPr>
          <w:t>Analysis of non-respondents to the Household Labour Force Survey using linked 2013 Census data</w:t>
        </w:r>
        <w:r w:rsidR="003E7C39" w:rsidRPr="003E7C39">
          <w:rPr>
            <w:rStyle w:val="Hyperlink"/>
            <w:bCs/>
            <w:spacing w:val="-5"/>
          </w:rPr>
          <w:t>, Statistics New Zealand Working Paper No 16–02</w:t>
        </w:r>
      </w:hyperlink>
      <w:r w:rsidR="003E7C39">
        <w:rPr>
          <w:bCs/>
          <w:spacing w:val="-5"/>
        </w:rPr>
        <w:t xml:space="preserve">. </w:t>
      </w:r>
      <w:r w:rsidR="003E7C39" w:rsidRPr="00D624A6">
        <w:rPr>
          <w:rFonts w:cstheme="minorHAnsi"/>
        </w:rPr>
        <w:t xml:space="preserve">Available from </w:t>
      </w:r>
      <w:hyperlink r:id="rId20" w:history="1">
        <w:r w:rsidR="003E7C39" w:rsidRPr="00D624A6">
          <w:rPr>
            <w:rStyle w:val="Hyperlink"/>
            <w:rFonts w:cstheme="minorHAnsi"/>
          </w:rPr>
          <w:t>www.stats.govt.nz</w:t>
        </w:r>
      </w:hyperlink>
      <w:r w:rsidR="003E7C39" w:rsidRPr="00D624A6">
        <w:rPr>
          <w:rFonts w:cstheme="minorHAnsi"/>
        </w:rPr>
        <w:t>.</w:t>
      </w:r>
    </w:p>
    <w:p w:rsidR="00BF22B5" w:rsidRPr="00971232" w:rsidRDefault="00971232" w:rsidP="00D624A6">
      <w:pPr>
        <w:jc w:val="both"/>
        <w:rPr>
          <w:rStyle w:val="Hyperlink"/>
          <w:rFonts w:cstheme="minorHAnsi"/>
        </w:rPr>
      </w:pPr>
      <w:r>
        <w:rPr>
          <w:rFonts w:cstheme="minorHAnsi"/>
          <w:shd w:val="clear" w:color="auto" w:fill="FFFFFF"/>
        </w:rPr>
        <w:t>Statistics New Zealand.</w:t>
      </w:r>
      <w:r w:rsidR="00BF22B5" w:rsidRPr="00971232">
        <w:rPr>
          <w:rFonts w:cstheme="minorHAnsi"/>
          <w:shd w:val="clear" w:color="auto" w:fill="FFFFFF"/>
        </w:rPr>
        <w:t xml:space="preserve"> 2012</w:t>
      </w:r>
      <w:r w:rsidR="004E68A1" w:rsidRPr="00971232">
        <w:rPr>
          <w:rFonts w:cstheme="minorHAnsi"/>
          <w:shd w:val="clear" w:color="auto" w:fill="FFFFFF"/>
        </w:rPr>
        <w:t>a</w:t>
      </w:r>
      <w:r w:rsidR="00BF22B5" w:rsidRPr="00971232">
        <w:rPr>
          <w:rFonts w:cstheme="minorHAnsi"/>
          <w:shd w:val="clear" w:color="auto" w:fill="FFFFFF"/>
        </w:rPr>
        <w:t xml:space="preserve">. </w:t>
      </w:r>
      <w:hyperlink r:id="rId21" w:history="1">
        <w:r w:rsidR="00BF22B5" w:rsidRPr="00971232">
          <w:rPr>
            <w:rStyle w:val="Hyperlink"/>
          </w:rPr>
          <w:t>Linked Employer-Employee Data (LEED) project</w:t>
        </w:r>
      </w:hyperlink>
      <w:r w:rsidR="00BF22B5" w:rsidRPr="00971232">
        <w:t xml:space="preserve">. . </w:t>
      </w:r>
      <w:r w:rsidR="00BF22B5" w:rsidRPr="00971232">
        <w:rPr>
          <w:rFonts w:cstheme="minorHAnsi"/>
        </w:rPr>
        <w:t xml:space="preserve">Available from </w:t>
      </w:r>
      <w:hyperlink r:id="rId22" w:history="1">
        <w:r w:rsidR="00BF22B5" w:rsidRPr="00971232">
          <w:rPr>
            <w:rStyle w:val="Hyperlink"/>
            <w:rFonts w:cstheme="minorHAnsi"/>
          </w:rPr>
          <w:t>www.stats.govt.nz</w:t>
        </w:r>
      </w:hyperlink>
      <w:r w:rsidR="00BF22B5" w:rsidRPr="00971232">
        <w:rPr>
          <w:rStyle w:val="Hyperlink"/>
          <w:rFonts w:cstheme="minorHAnsi"/>
        </w:rPr>
        <w:t>.</w:t>
      </w:r>
    </w:p>
    <w:p w:rsidR="004E68A1" w:rsidRPr="00D624A6" w:rsidRDefault="00971232" w:rsidP="00D624A6">
      <w:pPr>
        <w:jc w:val="both"/>
        <w:rPr>
          <w:rStyle w:val="Hyperlink"/>
          <w:rFonts w:cstheme="minorHAnsi"/>
        </w:rPr>
      </w:pPr>
      <w:r>
        <w:rPr>
          <w:rFonts w:cstheme="minorHAnsi"/>
          <w:shd w:val="clear" w:color="auto" w:fill="FFFFFF"/>
        </w:rPr>
        <w:t>Statistics New Zealand.</w:t>
      </w:r>
      <w:r w:rsidR="004E68A1" w:rsidRPr="00D624A6">
        <w:rPr>
          <w:rFonts w:cstheme="minorHAnsi"/>
          <w:shd w:val="clear" w:color="auto" w:fill="FFFFFF"/>
        </w:rPr>
        <w:t xml:space="preserve"> 2012b. </w:t>
      </w:r>
      <w:hyperlink r:id="rId23" w:history="1">
        <w:r w:rsidR="004E68A1" w:rsidRPr="00D624A6">
          <w:rPr>
            <w:rStyle w:val="Hyperlink"/>
            <w:rFonts w:cstheme="minorHAnsi"/>
            <w:shd w:val="clear" w:color="auto" w:fill="FFFFFF"/>
          </w:rPr>
          <w:t>Student Loans project</w:t>
        </w:r>
      </w:hyperlink>
      <w:r w:rsidR="004E68A1" w:rsidRPr="00D624A6">
        <w:rPr>
          <w:rFonts w:cstheme="minorHAnsi"/>
          <w:shd w:val="clear" w:color="auto" w:fill="FFFFFF"/>
        </w:rPr>
        <w:t xml:space="preserve">. </w:t>
      </w:r>
      <w:r w:rsidR="004E68A1" w:rsidRPr="00D624A6">
        <w:rPr>
          <w:rFonts w:cstheme="minorHAnsi"/>
        </w:rPr>
        <w:t xml:space="preserve">Available from </w:t>
      </w:r>
      <w:hyperlink r:id="rId24" w:history="1">
        <w:r w:rsidR="004E68A1" w:rsidRPr="00D624A6">
          <w:rPr>
            <w:rStyle w:val="Hyperlink"/>
            <w:rFonts w:cstheme="minorHAnsi"/>
          </w:rPr>
          <w:t>www.stats.govt.nz</w:t>
        </w:r>
      </w:hyperlink>
      <w:r w:rsidR="004E68A1" w:rsidRPr="00D624A6">
        <w:rPr>
          <w:rStyle w:val="Hyperlink"/>
          <w:rFonts w:cstheme="minorHAnsi"/>
        </w:rPr>
        <w:t>.</w:t>
      </w:r>
    </w:p>
    <w:p w:rsidR="00AF61A0" w:rsidRPr="00D624A6" w:rsidRDefault="00AF61A0" w:rsidP="00D624A6">
      <w:pPr>
        <w:jc w:val="both"/>
      </w:pPr>
      <w:r w:rsidRPr="00D624A6">
        <w:rPr>
          <w:rFonts w:cstheme="minorHAnsi"/>
          <w:shd w:val="clear" w:color="auto" w:fill="FFFFFF"/>
        </w:rPr>
        <w:t xml:space="preserve">Statistics New Zealand. 2013. </w:t>
      </w:r>
      <w:hyperlink r:id="rId25" w:history="1">
        <w:r w:rsidRPr="00D624A6">
          <w:rPr>
            <w:rStyle w:val="Hyperlink"/>
          </w:rPr>
          <w:t>Data integration manual: 2nd edition</w:t>
        </w:r>
      </w:hyperlink>
      <w:r w:rsidRPr="00D624A6">
        <w:t xml:space="preserve">. </w:t>
      </w:r>
      <w:r w:rsidRPr="00D624A6">
        <w:rPr>
          <w:rFonts w:cstheme="minorHAnsi"/>
        </w:rPr>
        <w:t xml:space="preserve">Available from </w:t>
      </w:r>
      <w:hyperlink r:id="rId26" w:history="1">
        <w:r w:rsidRPr="00D624A6">
          <w:rPr>
            <w:rStyle w:val="Hyperlink"/>
            <w:rFonts w:cstheme="minorHAnsi"/>
          </w:rPr>
          <w:t>www.stats.govt.nz</w:t>
        </w:r>
      </w:hyperlink>
      <w:r w:rsidRPr="00D624A6">
        <w:rPr>
          <w:rFonts w:cstheme="minorHAnsi"/>
        </w:rPr>
        <w:t>.</w:t>
      </w:r>
    </w:p>
    <w:p w:rsidR="00F0450C" w:rsidRPr="00D624A6" w:rsidRDefault="00E9616A" w:rsidP="00B5221D">
      <w:pPr>
        <w:spacing w:line="240" w:lineRule="auto"/>
        <w:jc w:val="both"/>
        <w:rPr>
          <w:rFonts w:cstheme="minorHAnsi"/>
        </w:rPr>
      </w:pPr>
      <w:r w:rsidRPr="00D624A6">
        <w:rPr>
          <w:rFonts w:cstheme="minorHAnsi"/>
          <w:shd w:val="clear" w:color="auto" w:fill="FFFFFF"/>
        </w:rPr>
        <w:t xml:space="preserve">Statistics New Zealand. </w:t>
      </w:r>
      <w:r w:rsidR="00F0450C" w:rsidRPr="00D624A6">
        <w:rPr>
          <w:rFonts w:cstheme="minorHAnsi"/>
          <w:shd w:val="clear" w:color="auto" w:fill="FFFFFF"/>
        </w:rPr>
        <w:t>2014.</w:t>
      </w:r>
      <w:r w:rsidR="00F0450C" w:rsidRPr="00D624A6">
        <w:rPr>
          <w:rStyle w:val="apple-converted-space"/>
          <w:rFonts w:cstheme="minorHAnsi"/>
          <w:shd w:val="clear" w:color="auto" w:fill="FFFFFF"/>
        </w:rPr>
        <w:t> </w:t>
      </w:r>
      <w:hyperlink r:id="rId27" w:history="1">
        <w:r w:rsidR="00F0450C" w:rsidRPr="00D624A6">
          <w:rPr>
            <w:rStyle w:val="Hyperlink"/>
            <w:rFonts w:cstheme="minorHAnsi"/>
          </w:rPr>
          <w:t>Linking methodology used by Statistics New Zealand in the Integrated Data Infrastructure project</w:t>
        </w:r>
      </w:hyperlink>
      <w:r w:rsidR="00F0450C" w:rsidRPr="00D624A6">
        <w:rPr>
          <w:rFonts w:cstheme="minorHAnsi"/>
          <w:shd w:val="clear" w:color="auto" w:fill="FFFFFF"/>
        </w:rPr>
        <w:t xml:space="preserve">. </w:t>
      </w:r>
      <w:r w:rsidR="00F0450C" w:rsidRPr="00D624A6">
        <w:rPr>
          <w:rFonts w:cstheme="minorHAnsi"/>
        </w:rPr>
        <w:t xml:space="preserve">Available from </w:t>
      </w:r>
      <w:hyperlink r:id="rId28" w:history="1">
        <w:r w:rsidR="00F0450C" w:rsidRPr="00D624A6">
          <w:rPr>
            <w:rStyle w:val="Hyperlink"/>
            <w:rFonts w:cstheme="minorHAnsi"/>
          </w:rPr>
          <w:t>www.stats.govt.nz</w:t>
        </w:r>
      </w:hyperlink>
      <w:r w:rsidR="00F0450C" w:rsidRPr="00D624A6">
        <w:rPr>
          <w:rFonts w:cstheme="minorHAnsi"/>
        </w:rPr>
        <w:t>.</w:t>
      </w:r>
    </w:p>
    <w:p w:rsidR="00F0357A" w:rsidRDefault="00F0357A" w:rsidP="00D624A6">
      <w:pPr>
        <w:jc w:val="both"/>
        <w:rPr>
          <w:rFonts w:cstheme="minorHAnsi"/>
        </w:rPr>
      </w:pPr>
      <w:r w:rsidRPr="00A75859">
        <w:rPr>
          <w:sz w:val="20"/>
          <w:szCs w:val="20"/>
        </w:rPr>
        <w:t xml:space="preserve">Statistics New Zealand. 2016. </w:t>
      </w:r>
      <w:hyperlink r:id="rId29" w:history="1">
        <w:r w:rsidRPr="00D624A6">
          <w:rPr>
            <w:rStyle w:val="Hyperlink"/>
            <w:sz w:val="20"/>
            <w:szCs w:val="20"/>
          </w:rPr>
          <w:t>Guide to reporting the quality of administrative data</w:t>
        </w:r>
      </w:hyperlink>
      <w:r w:rsidRPr="00D624A6">
        <w:rPr>
          <w:sz w:val="20"/>
          <w:szCs w:val="20"/>
        </w:rPr>
        <w:t xml:space="preserve">. </w:t>
      </w:r>
      <w:r w:rsidR="00002D8D" w:rsidRPr="00D624A6">
        <w:rPr>
          <w:rFonts w:cstheme="minorHAnsi"/>
        </w:rPr>
        <w:t xml:space="preserve">Available from </w:t>
      </w:r>
      <w:hyperlink r:id="rId30" w:history="1">
        <w:r w:rsidR="00002D8D" w:rsidRPr="00D624A6">
          <w:rPr>
            <w:rStyle w:val="Hyperlink"/>
            <w:rFonts w:cstheme="minorHAnsi"/>
          </w:rPr>
          <w:t>www.stats.govt.nz</w:t>
        </w:r>
      </w:hyperlink>
      <w:r w:rsidR="00002D8D" w:rsidRPr="00D624A6">
        <w:rPr>
          <w:rFonts w:cstheme="minorHAnsi"/>
        </w:rPr>
        <w:t>.</w:t>
      </w:r>
    </w:p>
    <w:p w:rsidR="00F62037" w:rsidRDefault="00FE1A5C" w:rsidP="00F62037">
      <w:r>
        <w:rPr>
          <w:rFonts w:cstheme="minorHAnsi"/>
        </w:rPr>
        <w:t>Zabala, F. 2016</w:t>
      </w:r>
      <w:hyperlink r:id="rId31" w:history="1">
        <w:r w:rsidR="007019FE" w:rsidRPr="007019FE">
          <w:rPr>
            <w:rStyle w:val="Hyperlink"/>
            <w:rFonts w:cstheme="minorHAnsi"/>
          </w:rPr>
          <w:t>. Using administrative data to validate income in Statistics New Zealand's household surveys</w:t>
        </w:r>
      </w:hyperlink>
      <w:r w:rsidR="00F62037" w:rsidRPr="00D624A6">
        <w:t xml:space="preserve">. </w:t>
      </w:r>
      <w:r w:rsidR="00F62037" w:rsidRPr="00F62037">
        <w:rPr>
          <w:rFonts w:eastAsia="Times New Roman" w:cstheme="minorHAnsi"/>
          <w:lang w:eastAsia="en-NZ"/>
        </w:rPr>
        <w:t xml:space="preserve">Paper presented at the </w:t>
      </w:r>
      <w:r w:rsidR="00F62037">
        <w:rPr>
          <w:rFonts w:eastAsia="Times New Roman" w:cstheme="minorHAnsi"/>
          <w:lang w:eastAsia="en-NZ"/>
        </w:rPr>
        <w:t>2016 International Total Survey Error Workshop, Sydney, Australia.</w:t>
      </w:r>
    </w:p>
    <w:p w:rsidR="00971232" w:rsidRDefault="00971232" w:rsidP="00946BDD">
      <w:pPr>
        <w:pStyle w:val="Heading3"/>
      </w:pPr>
      <w:r>
        <w:t>Unpublished documents from Statistics New Zealand:</w:t>
      </w:r>
    </w:p>
    <w:p w:rsidR="00E841EF" w:rsidRDefault="00E841EF" w:rsidP="00B5221D">
      <w:r>
        <w:t xml:space="preserve">Anastasiadis, S. 2013.  </w:t>
      </w:r>
      <w:r w:rsidRPr="00E841EF">
        <w:rPr>
          <w:i/>
        </w:rPr>
        <w:t>EMS administrative data – thoughts on the barriers</w:t>
      </w:r>
      <w:r>
        <w:t>.</w:t>
      </w:r>
    </w:p>
    <w:p w:rsidR="00E841EF" w:rsidRDefault="00E841EF" w:rsidP="00E841EF">
      <w:r>
        <w:t xml:space="preserve">Anastasiadis, S. 2014. </w:t>
      </w:r>
      <w:r w:rsidRPr="00E841EF">
        <w:rPr>
          <w:i/>
        </w:rPr>
        <w:t>Hourly earnings from the HLFS-EMS link September 2014</w:t>
      </w:r>
      <w:r>
        <w:t>.</w:t>
      </w:r>
    </w:p>
    <w:p w:rsidR="00E841EF" w:rsidRPr="00E841EF" w:rsidRDefault="00E841EF" w:rsidP="00B5221D">
      <w:pPr>
        <w:rPr>
          <w:i/>
        </w:rPr>
      </w:pPr>
      <w:r>
        <w:t xml:space="preserve">Anastasiadis, S. 2014. </w:t>
      </w:r>
      <w:r w:rsidRPr="00E841EF">
        <w:rPr>
          <w:i/>
        </w:rPr>
        <w:t>Pay period variability – can we remove by aggregating data?</w:t>
      </w:r>
    </w:p>
    <w:p w:rsidR="00E841EF" w:rsidRDefault="00E841EF" w:rsidP="00B5221D">
      <w:r>
        <w:t xml:space="preserve">Archibald, J. 2014. </w:t>
      </w:r>
      <w:r w:rsidRPr="00E841EF">
        <w:rPr>
          <w:i/>
        </w:rPr>
        <w:t>Measuring the accuracy of mixed source statistics</w:t>
      </w:r>
      <w:r>
        <w:t>.</w:t>
      </w:r>
    </w:p>
    <w:p w:rsidR="008E5304" w:rsidRDefault="008E5304" w:rsidP="00B5221D">
      <w:r>
        <w:t xml:space="preserve">Bycroft, C. 2009. </w:t>
      </w:r>
      <w:r w:rsidRPr="00337D78">
        <w:rPr>
          <w:i/>
        </w:rPr>
        <w:t>HLFS-LEED interaction</w:t>
      </w:r>
      <w:r>
        <w:t>.</w:t>
      </w:r>
    </w:p>
    <w:p w:rsidR="00BF55E4" w:rsidRDefault="00BF55E4" w:rsidP="00B5221D">
      <w:r>
        <w:t xml:space="preserve">Enright, J. 2011. </w:t>
      </w:r>
      <w:r w:rsidRPr="00BF55E4">
        <w:rPr>
          <w:i/>
        </w:rPr>
        <w:t>Using LEED administrative data to improve income survey: A feasibility study</w:t>
      </w:r>
      <w:r>
        <w:t>.</w:t>
      </w:r>
    </w:p>
    <w:p w:rsidR="00BF55E4" w:rsidRDefault="00BF55E4" w:rsidP="00B5221D">
      <w:r>
        <w:t xml:space="preserve">Hansen, C. 2011. </w:t>
      </w:r>
      <w:r w:rsidRPr="00BF55E4">
        <w:rPr>
          <w:i/>
        </w:rPr>
        <w:t>The role of administrative data in New Zealand’s Household Labour Force Survey</w:t>
      </w:r>
      <w:r>
        <w:t>.</w:t>
      </w:r>
    </w:p>
    <w:p w:rsidR="00BF55E4" w:rsidRPr="00B5221D" w:rsidRDefault="00BF55E4" w:rsidP="00B5221D">
      <w:pPr>
        <w:rPr>
          <w:i/>
        </w:rPr>
      </w:pPr>
      <w:r>
        <w:t xml:space="preserve">Moes, W. 2010. </w:t>
      </w:r>
      <w:r w:rsidR="008E5304">
        <w:rPr>
          <w:i/>
        </w:rPr>
        <w:t>Comparing esti</w:t>
      </w:r>
      <w:r w:rsidR="00337D78">
        <w:rPr>
          <w:i/>
        </w:rPr>
        <w:t>m</w:t>
      </w:r>
      <w:r w:rsidR="008E5304">
        <w:rPr>
          <w:i/>
        </w:rPr>
        <w:t>ates from NZIS to LEED values</w:t>
      </w:r>
      <w:r w:rsidRPr="00B5221D">
        <w:rPr>
          <w:i/>
        </w:rPr>
        <w:t>.</w:t>
      </w:r>
    </w:p>
    <w:p w:rsidR="00B5221D" w:rsidRDefault="00B5221D" w:rsidP="00B5221D">
      <w:r>
        <w:t>Plugh, R. 2014. Administrative data to replace government transfers questions in NZIS.</w:t>
      </w:r>
    </w:p>
    <w:p w:rsidR="00B5221D" w:rsidRDefault="00B5221D" w:rsidP="00FE1A5C">
      <w:pPr>
        <w:spacing w:line="240" w:lineRule="auto"/>
      </w:pPr>
      <w:r>
        <w:t xml:space="preserve">Reid, G. 2012. </w:t>
      </w:r>
      <w:r w:rsidRPr="00B5221D">
        <w:rPr>
          <w:i/>
        </w:rPr>
        <w:t>Report for the administrative data roadmap project Deliverable 8: The replacement of respondent data with tax data in surveys that measure income</w:t>
      </w:r>
      <w:r>
        <w:t>.</w:t>
      </w:r>
    </w:p>
    <w:p w:rsidR="00A67C9F" w:rsidRDefault="00B5221D" w:rsidP="00A67C9F">
      <w:r>
        <w:t xml:space="preserve">Young, N. 2012. </w:t>
      </w:r>
      <w:r w:rsidRPr="00337D78">
        <w:rPr>
          <w:i/>
        </w:rPr>
        <w:t>HLFS-LEED link on IDI round 1 link investigation</w:t>
      </w:r>
      <w:r>
        <w:t>.</w:t>
      </w:r>
    </w:p>
    <w:sectPr w:rsidR="00A67C9F" w:rsidSect="006C749C">
      <w:headerReference w:type="even" r:id="rId32"/>
      <w:headerReference w:type="default" r:id="rId33"/>
      <w:footerReference w:type="even" r:id="rId34"/>
      <w:footerReference w:type="default" r:id="rId35"/>
      <w:headerReference w:type="first" r:id="rId36"/>
      <w:footerReference w:type="first" r:id="rId37"/>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1A0" w:rsidRDefault="005C11A0" w:rsidP="001D55E3">
      <w:pPr>
        <w:spacing w:after="0" w:line="240" w:lineRule="auto"/>
      </w:pPr>
      <w:r>
        <w:separator/>
      </w:r>
    </w:p>
  </w:endnote>
  <w:endnote w:type="continuationSeparator" w:id="0">
    <w:p w:rsidR="005C11A0" w:rsidRDefault="005C11A0" w:rsidP="001D55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5E3" w:rsidRDefault="001D55E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895340"/>
      <w:docPartObj>
        <w:docPartGallery w:val="Page Numbers (Bottom of Page)"/>
        <w:docPartUnique/>
      </w:docPartObj>
    </w:sdtPr>
    <w:sdtEndPr>
      <w:rPr>
        <w:noProof/>
      </w:rPr>
    </w:sdtEndPr>
    <w:sdtContent>
      <w:bookmarkStart w:id="1" w:name="_GoBack" w:displacedByCustomXml="prev"/>
      <w:bookmarkEnd w:id="1" w:displacedByCustomXml="prev"/>
      <w:p w:rsidR="001D55E3" w:rsidRDefault="001D55E3">
        <w:pPr>
          <w:pStyle w:val="Footer"/>
          <w:jc w:val="center"/>
        </w:pPr>
        <w:r>
          <w:fldChar w:fldCharType="begin"/>
        </w:r>
        <w:r>
          <w:instrText xml:space="preserve"> PAGE   \* MERGEFORMAT </w:instrText>
        </w:r>
        <w:r>
          <w:fldChar w:fldCharType="separate"/>
        </w:r>
        <w:r>
          <w:rPr>
            <w:noProof/>
          </w:rPr>
          <w:t>8</w:t>
        </w:r>
        <w:r>
          <w:rPr>
            <w:noProof/>
          </w:rPr>
          <w:fldChar w:fldCharType="end"/>
        </w:r>
      </w:p>
    </w:sdtContent>
  </w:sdt>
  <w:p w:rsidR="001D55E3" w:rsidRDefault="001D55E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5E3" w:rsidRDefault="001D55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1A0" w:rsidRDefault="005C11A0" w:rsidP="001D55E3">
      <w:pPr>
        <w:spacing w:after="0" w:line="240" w:lineRule="auto"/>
      </w:pPr>
      <w:r>
        <w:separator/>
      </w:r>
    </w:p>
  </w:footnote>
  <w:footnote w:type="continuationSeparator" w:id="0">
    <w:p w:rsidR="005C11A0" w:rsidRDefault="005C11A0" w:rsidP="001D55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5E3" w:rsidRDefault="001D55E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5E3" w:rsidRDefault="001D55E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5E3" w:rsidRDefault="001D55E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F69B2"/>
    <w:multiLevelType w:val="hybridMultilevel"/>
    <w:tmpl w:val="39E4457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A83051E"/>
    <w:multiLevelType w:val="hybridMultilevel"/>
    <w:tmpl w:val="74F2CA5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E7A17AC"/>
    <w:multiLevelType w:val="multilevel"/>
    <w:tmpl w:val="89FE4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D12002"/>
    <w:multiLevelType w:val="hybridMultilevel"/>
    <w:tmpl w:val="45B6D3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73B715C"/>
    <w:multiLevelType w:val="hybridMultilevel"/>
    <w:tmpl w:val="62560FE0"/>
    <w:lvl w:ilvl="0" w:tplc="14090001">
      <w:start w:val="1"/>
      <w:numFmt w:val="bullet"/>
      <w:lvlText w:val=""/>
      <w:lvlJc w:val="left"/>
      <w:pPr>
        <w:ind w:left="774" w:hanging="360"/>
      </w:pPr>
      <w:rPr>
        <w:rFonts w:ascii="Symbol" w:hAnsi="Symbol" w:hint="default"/>
      </w:rPr>
    </w:lvl>
    <w:lvl w:ilvl="1" w:tplc="14090003" w:tentative="1">
      <w:start w:val="1"/>
      <w:numFmt w:val="bullet"/>
      <w:lvlText w:val="o"/>
      <w:lvlJc w:val="left"/>
      <w:pPr>
        <w:ind w:left="1494" w:hanging="360"/>
      </w:pPr>
      <w:rPr>
        <w:rFonts w:ascii="Courier New" w:hAnsi="Courier New" w:cs="Courier New" w:hint="default"/>
      </w:rPr>
    </w:lvl>
    <w:lvl w:ilvl="2" w:tplc="14090005" w:tentative="1">
      <w:start w:val="1"/>
      <w:numFmt w:val="bullet"/>
      <w:lvlText w:val=""/>
      <w:lvlJc w:val="left"/>
      <w:pPr>
        <w:ind w:left="2214" w:hanging="360"/>
      </w:pPr>
      <w:rPr>
        <w:rFonts w:ascii="Wingdings" w:hAnsi="Wingdings" w:hint="default"/>
      </w:rPr>
    </w:lvl>
    <w:lvl w:ilvl="3" w:tplc="14090001" w:tentative="1">
      <w:start w:val="1"/>
      <w:numFmt w:val="bullet"/>
      <w:lvlText w:val=""/>
      <w:lvlJc w:val="left"/>
      <w:pPr>
        <w:ind w:left="2934" w:hanging="360"/>
      </w:pPr>
      <w:rPr>
        <w:rFonts w:ascii="Symbol" w:hAnsi="Symbol" w:hint="default"/>
      </w:rPr>
    </w:lvl>
    <w:lvl w:ilvl="4" w:tplc="14090003" w:tentative="1">
      <w:start w:val="1"/>
      <w:numFmt w:val="bullet"/>
      <w:lvlText w:val="o"/>
      <w:lvlJc w:val="left"/>
      <w:pPr>
        <w:ind w:left="3654" w:hanging="360"/>
      </w:pPr>
      <w:rPr>
        <w:rFonts w:ascii="Courier New" w:hAnsi="Courier New" w:cs="Courier New" w:hint="default"/>
      </w:rPr>
    </w:lvl>
    <w:lvl w:ilvl="5" w:tplc="14090005" w:tentative="1">
      <w:start w:val="1"/>
      <w:numFmt w:val="bullet"/>
      <w:lvlText w:val=""/>
      <w:lvlJc w:val="left"/>
      <w:pPr>
        <w:ind w:left="4374" w:hanging="360"/>
      </w:pPr>
      <w:rPr>
        <w:rFonts w:ascii="Wingdings" w:hAnsi="Wingdings" w:hint="default"/>
      </w:rPr>
    </w:lvl>
    <w:lvl w:ilvl="6" w:tplc="14090001" w:tentative="1">
      <w:start w:val="1"/>
      <w:numFmt w:val="bullet"/>
      <w:lvlText w:val=""/>
      <w:lvlJc w:val="left"/>
      <w:pPr>
        <w:ind w:left="5094" w:hanging="360"/>
      </w:pPr>
      <w:rPr>
        <w:rFonts w:ascii="Symbol" w:hAnsi="Symbol" w:hint="default"/>
      </w:rPr>
    </w:lvl>
    <w:lvl w:ilvl="7" w:tplc="14090003" w:tentative="1">
      <w:start w:val="1"/>
      <w:numFmt w:val="bullet"/>
      <w:lvlText w:val="o"/>
      <w:lvlJc w:val="left"/>
      <w:pPr>
        <w:ind w:left="5814" w:hanging="360"/>
      </w:pPr>
      <w:rPr>
        <w:rFonts w:ascii="Courier New" w:hAnsi="Courier New" w:cs="Courier New" w:hint="default"/>
      </w:rPr>
    </w:lvl>
    <w:lvl w:ilvl="8" w:tplc="14090005" w:tentative="1">
      <w:start w:val="1"/>
      <w:numFmt w:val="bullet"/>
      <w:lvlText w:val=""/>
      <w:lvlJc w:val="left"/>
      <w:pPr>
        <w:ind w:left="6534" w:hanging="360"/>
      </w:pPr>
      <w:rPr>
        <w:rFonts w:ascii="Wingdings" w:hAnsi="Wingdings" w:hint="default"/>
      </w:rPr>
    </w:lvl>
  </w:abstractNum>
  <w:abstractNum w:abstractNumId="5">
    <w:nsid w:val="1870320F"/>
    <w:multiLevelType w:val="hybridMultilevel"/>
    <w:tmpl w:val="49B8A000"/>
    <w:lvl w:ilvl="0" w:tplc="1409000B">
      <w:start w:val="1"/>
      <w:numFmt w:val="bullet"/>
      <w:lvlText w:val=""/>
      <w:lvlJc w:val="left"/>
      <w:pPr>
        <w:ind w:left="1440" w:hanging="360"/>
      </w:pPr>
      <w:rPr>
        <w:rFonts w:ascii="Wingdings" w:hAnsi="Wingdings"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6">
    <w:nsid w:val="2C7E13C7"/>
    <w:multiLevelType w:val="hybridMultilevel"/>
    <w:tmpl w:val="E4D66B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32BA5992"/>
    <w:multiLevelType w:val="hybridMultilevel"/>
    <w:tmpl w:val="DEA023D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349C73B1"/>
    <w:multiLevelType w:val="multilevel"/>
    <w:tmpl w:val="270A0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42F1464"/>
    <w:multiLevelType w:val="hybridMultilevel"/>
    <w:tmpl w:val="D910B59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4E805C84"/>
    <w:multiLevelType w:val="hybridMultilevel"/>
    <w:tmpl w:val="E068796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500A63D6"/>
    <w:multiLevelType w:val="hybridMultilevel"/>
    <w:tmpl w:val="BBE24CC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58503625"/>
    <w:multiLevelType w:val="hybridMultilevel"/>
    <w:tmpl w:val="C0422CDA"/>
    <w:lvl w:ilvl="0" w:tplc="1409000B">
      <w:start w:val="1"/>
      <w:numFmt w:val="bullet"/>
      <w:lvlText w:val=""/>
      <w:lvlJc w:val="left"/>
      <w:pPr>
        <w:ind w:left="1440" w:hanging="360"/>
      </w:pPr>
      <w:rPr>
        <w:rFonts w:ascii="Wingdings" w:hAnsi="Wingdings"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3">
    <w:nsid w:val="5B854602"/>
    <w:multiLevelType w:val="hybridMultilevel"/>
    <w:tmpl w:val="21E804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C8F1886"/>
    <w:multiLevelType w:val="hybridMultilevel"/>
    <w:tmpl w:val="A0BE164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5EEB163E"/>
    <w:multiLevelType w:val="hybridMultilevel"/>
    <w:tmpl w:val="0E70326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6C7636EB"/>
    <w:multiLevelType w:val="hybridMultilevel"/>
    <w:tmpl w:val="02E2F1A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6C8A3E47"/>
    <w:multiLevelType w:val="multilevel"/>
    <w:tmpl w:val="CFB87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E2C6570"/>
    <w:multiLevelType w:val="multilevel"/>
    <w:tmpl w:val="87EA8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06D5D13"/>
    <w:multiLevelType w:val="hybridMultilevel"/>
    <w:tmpl w:val="C4EC319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72684290"/>
    <w:multiLevelType w:val="multilevel"/>
    <w:tmpl w:val="7CCAF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4912C40"/>
    <w:multiLevelType w:val="hybridMultilevel"/>
    <w:tmpl w:val="3552ECA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nsid w:val="768D624D"/>
    <w:multiLevelType w:val="hybridMultilevel"/>
    <w:tmpl w:val="EE7C9D4A"/>
    <w:lvl w:ilvl="0" w:tplc="0409000B">
      <w:start w:val="1"/>
      <w:numFmt w:val="bullet"/>
      <w:lvlText w:val=""/>
      <w:lvlJc w:val="left"/>
      <w:pPr>
        <w:ind w:left="1440" w:hanging="360"/>
      </w:pPr>
      <w:rPr>
        <w:rFonts w:ascii="Wingdings" w:hAnsi="Wingdings" w:hint="default"/>
      </w:r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23">
    <w:nsid w:val="79D36248"/>
    <w:multiLevelType w:val="hybridMultilevel"/>
    <w:tmpl w:val="472A6DA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1"/>
  </w:num>
  <w:num w:numId="2">
    <w:abstractNumId w:val="13"/>
  </w:num>
  <w:num w:numId="3">
    <w:abstractNumId w:val="19"/>
  </w:num>
  <w:num w:numId="4">
    <w:abstractNumId w:val="18"/>
  </w:num>
  <w:num w:numId="5">
    <w:abstractNumId w:val="8"/>
  </w:num>
  <w:num w:numId="6">
    <w:abstractNumId w:val="16"/>
  </w:num>
  <w:num w:numId="7">
    <w:abstractNumId w:val="10"/>
  </w:num>
  <w:num w:numId="8">
    <w:abstractNumId w:val="3"/>
  </w:num>
  <w:num w:numId="9">
    <w:abstractNumId w:val="9"/>
  </w:num>
  <w:num w:numId="10">
    <w:abstractNumId w:val="17"/>
  </w:num>
  <w:num w:numId="11">
    <w:abstractNumId w:val="20"/>
  </w:num>
  <w:num w:numId="12">
    <w:abstractNumId w:val="2"/>
  </w:num>
  <w:num w:numId="13">
    <w:abstractNumId w:val="4"/>
  </w:num>
  <w:num w:numId="14">
    <w:abstractNumId w:val="15"/>
  </w:num>
  <w:num w:numId="15">
    <w:abstractNumId w:val="14"/>
  </w:num>
  <w:num w:numId="16">
    <w:abstractNumId w:val="1"/>
  </w:num>
  <w:num w:numId="17">
    <w:abstractNumId w:val="23"/>
  </w:num>
  <w:num w:numId="18">
    <w:abstractNumId w:val="6"/>
  </w:num>
  <w:num w:numId="19">
    <w:abstractNumId w:val="11"/>
  </w:num>
  <w:num w:numId="20">
    <w:abstractNumId w:val="22"/>
  </w:num>
  <w:num w:numId="21">
    <w:abstractNumId w:val="5"/>
  </w:num>
  <w:num w:numId="22">
    <w:abstractNumId w:val="7"/>
  </w:num>
  <w:num w:numId="23">
    <w:abstractNumId w:val="12"/>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749C"/>
    <w:rsid w:val="00002D8D"/>
    <w:rsid w:val="00016F20"/>
    <w:rsid w:val="0002323B"/>
    <w:rsid w:val="000277BA"/>
    <w:rsid w:val="0003065D"/>
    <w:rsid w:val="00030DDF"/>
    <w:rsid w:val="00041770"/>
    <w:rsid w:val="00061014"/>
    <w:rsid w:val="00066A4E"/>
    <w:rsid w:val="00081576"/>
    <w:rsid w:val="000819A2"/>
    <w:rsid w:val="00095B64"/>
    <w:rsid w:val="000B24F1"/>
    <w:rsid w:val="000B39CA"/>
    <w:rsid w:val="000C371A"/>
    <w:rsid w:val="000D763A"/>
    <w:rsid w:val="000D7EC4"/>
    <w:rsid w:val="000E0B58"/>
    <w:rsid w:val="000F2922"/>
    <w:rsid w:val="001045D6"/>
    <w:rsid w:val="00120F09"/>
    <w:rsid w:val="00140573"/>
    <w:rsid w:val="001433DE"/>
    <w:rsid w:val="00145CBE"/>
    <w:rsid w:val="001518BD"/>
    <w:rsid w:val="00174780"/>
    <w:rsid w:val="00177F7D"/>
    <w:rsid w:val="00182535"/>
    <w:rsid w:val="001D3D31"/>
    <w:rsid w:val="001D43B7"/>
    <w:rsid w:val="001D55E3"/>
    <w:rsid w:val="001F0411"/>
    <w:rsid w:val="00232DA2"/>
    <w:rsid w:val="002767CB"/>
    <w:rsid w:val="002976B6"/>
    <w:rsid w:val="002A473B"/>
    <w:rsid w:val="002B188F"/>
    <w:rsid w:val="002E4A0A"/>
    <w:rsid w:val="002E7682"/>
    <w:rsid w:val="00307243"/>
    <w:rsid w:val="00313EFF"/>
    <w:rsid w:val="00317254"/>
    <w:rsid w:val="00323F75"/>
    <w:rsid w:val="00337A10"/>
    <w:rsid w:val="00337D78"/>
    <w:rsid w:val="00346B02"/>
    <w:rsid w:val="00354E53"/>
    <w:rsid w:val="00355E12"/>
    <w:rsid w:val="003964B5"/>
    <w:rsid w:val="003D4080"/>
    <w:rsid w:val="003E161F"/>
    <w:rsid w:val="003E7C39"/>
    <w:rsid w:val="003F2855"/>
    <w:rsid w:val="003F3488"/>
    <w:rsid w:val="0040183B"/>
    <w:rsid w:val="00422080"/>
    <w:rsid w:val="00424897"/>
    <w:rsid w:val="00432394"/>
    <w:rsid w:val="00434597"/>
    <w:rsid w:val="004524A1"/>
    <w:rsid w:val="00454F85"/>
    <w:rsid w:val="00465619"/>
    <w:rsid w:val="0049323C"/>
    <w:rsid w:val="004D78FE"/>
    <w:rsid w:val="004E68A1"/>
    <w:rsid w:val="004F71A8"/>
    <w:rsid w:val="00500F57"/>
    <w:rsid w:val="005347C1"/>
    <w:rsid w:val="005C11A0"/>
    <w:rsid w:val="005D26B5"/>
    <w:rsid w:val="005E402E"/>
    <w:rsid w:val="005E5B5E"/>
    <w:rsid w:val="006120F6"/>
    <w:rsid w:val="0062144F"/>
    <w:rsid w:val="00634C09"/>
    <w:rsid w:val="00651375"/>
    <w:rsid w:val="00652BAA"/>
    <w:rsid w:val="00664587"/>
    <w:rsid w:val="00690CF1"/>
    <w:rsid w:val="0069585E"/>
    <w:rsid w:val="006A691E"/>
    <w:rsid w:val="006B1323"/>
    <w:rsid w:val="006B1771"/>
    <w:rsid w:val="006C749C"/>
    <w:rsid w:val="006E32C7"/>
    <w:rsid w:val="006F414A"/>
    <w:rsid w:val="006F7763"/>
    <w:rsid w:val="007019FE"/>
    <w:rsid w:val="0070376D"/>
    <w:rsid w:val="0071529C"/>
    <w:rsid w:val="00723703"/>
    <w:rsid w:val="00730B53"/>
    <w:rsid w:val="007419BA"/>
    <w:rsid w:val="00755FBD"/>
    <w:rsid w:val="007811F4"/>
    <w:rsid w:val="0078696B"/>
    <w:rsid w:val="007A7AC4"/>
    <w:rsid w:val="007B2BB5"/>
    <w:rsid w:val="007C4D08"/>
    <w:rsid w:val="007E7850"/>
    <w:rsid w:val="007F7280"/>
    <w:rsid w:val="00815651"/>
    <w:rsid w:val="00834294"/>
    <w:rsid w:val="008A7C99"/>
    <w:rsid w:val="008B439D"/>
    <w:rsid w:val="008D1960"/>
    <w:rsid w:val="008E5304"/>
    <w:rsid w:val="008F0318"/>
    <w:rsid w:val="008F11C8"/>
    <w:rsid w:val="008F4785"/>
    <w:rsid w:val="009355EF"/>
    <w:rsid w:val="0093589B"/>
    <w:rsid w:val="00946BDD"/>
    <w:rsid w:val="0096504C"/>
    <w:rsid w:val="00965C40"/>
    <w:rsid w:val="00967DC3"/>
    <w:rsid w:val="00971232"/>
    <w:rsid w:val="00985CC6"/>
    <w:rsid w:val="00987214"/>
    <w:rsid w:val="009A02D4"/>
    <w:rsid w:val="009B24C4"/>
    <w:rsid w:val="009D2CD9"/>
    <w:rsid w:val="009D2F08"/>
    <w:rsid w:val="009D7F6E"/>
    <w:rsid w:val="009E2EBB"/>
    <w:rsid w:val="009F3C0A"/>
    <w:rsid w:val="00A52DEB"/>
    <w:rsid w:val="00A5609B"/>
    <w:rsid w:val="00A67C9F"/>
    <w:rsid w:val="00A716E2"/>
    <w:rsid w:val="00A75859"/>
    <w:rsid w:val="00AA0340"/>
    <w:rsid w:val="00AB22AD"/>
    <w:rsid w:val="00AC0E59"/>
    <w:rsid w:val="00AC3476"/>
    <w:rsid w:val="00AC5A1B"/>
    <w:rsid w:val="00AE3E8C"/>
    <w:rsid w:val="00AF1E3A"/>
    <w:rsid w:val="00AF61A0"/>
    <w:rsid w:val="00B1016C"/>
    <w:rsid w:val="00B464F1"/>
    <w:rsid w:val="00B5221D"/>
    <w:rsid w:val="00B81AEB"/>
    <w:rsid w:val="00BA7AE6"/>
    <w:rsid w:val="00BD2B86"/>
    <w:rsid w:val="00BE3054"/>
    <w:rsid w:val="00BF22B5"/>
    <w:rsid w:val="00BF55E4"/>
    <w:rsid w:val="00BF5C1B"/>
    <w:rsid w:val="00C0437C"/>
    <w:rsid w:val="00C13F7C"/>
    <w:rsid w:val="00C5127E"/>
    <w:rsid w:val="00C606BE"/>
    <w:rsid w:val="00C64C65"/>
    <w:rsid w:val="00C65EFB"/>
    <w:rsid w:val="00C6608B"/>
    <w:rsid w:val="00C945F4"/>
    <w:rsid w:val="00C95D23"/>
    <w:rsid w:val="00CA31C7"/>
    <w:rsid w:val="00CA7716"/>
    <w:rsid w:val="00CB2EC6"/>
    <w:rsid w:val="00CC151D"/>
    <w:rsid w:val="00CC722B"/>
    <w:rsid w:val="00CE1077"/>
    <w:rsid w:val="00CE76BF"/>
    <w:rsid w:val="00D11B4A"/>
    <w:rsid w:val="00D1592F"/>
    <w:rsid w:val="00D171D9"/>
    <w:rsid w:val="00D17270"/>
    <w:rsid w:val="00D46CB3"/>
    <w:rsid w:val="00D624A6"/>
    <w:rsid w:val="00D65CA8"/>
    <w:rsid w:val="00D92269"/>
    <w:rsid w:val="00DA566B"/>
    <w:rsid w:val="00DC2D59"/>
    <w:rsid w:val="00DE701A"/>
    <w:rsid w:val="00DF2056"/>
    <w:rsid w:val="00DF452A"/>
    <w:rsid w:val="00E144CD"/>
    <w:rsid w:val="00E16FA6"/>
    <w:rsid w:val="00E178F9"/>
    <w:rsid w:val="00E470B5"/>
    <w:rsid w:val="00E638FB"/>
    <w:rsid w:val="00E71BB7"/>
    <w:rsid w:val="00E841EF"/>
    <w:rsid w:val="00E9616A"/>
    <w:rsid w:val="00EB4D29"/>
    <w:rsid w:val="00EC0359"/>
    <w:rsid w:val="00EE5A26"/>
    <w:rsid w:val="00EF6A27"/>
    <w:rsid w:val="00F00540"/>
    <w:rsid w:val="00F0357A"/>
    <w:rsid w:val="00F0450C"/>
    <w:rsid w:val="00F05A9D"/>
    <w:rsid w:val="00F06DF9"/>
    <w:rsid w:val="00F079E3"/>
    <w:rsid w:val="00F178D4"/>
    <w:rsid w:val="00F3360F"/>
    <w:rsid w:val="00F43776"/>
    <w:rsid w:val="00F465C1"/>
    <w:rsid w:val="00F50C69"/>
    <w:rsid w:val="00F61267"/>
    <w:rsid w:val="00F62037"/>
    <w:rsid w:val="00F730AE"/>
    <w:rsid w:val="00F77033"/>
    <w:rsid w:val="00FA1862"/>
    <w:rsid w:val="00FE1A5C"/>
    <w:rsid w:val="00FE46F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00F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5127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5127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C749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C749C"/>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500F57"/>
    <w:pPr>
      <w:ind w:left="720"/>
      <w:contextualSpacing/>
    </w:pPr>
  </w:style>
  <w:style w:type="character" w:customStyle="1" w:styleId="Heading1Char">
    <w:name w:val="Heading 1 Char"/>
    <w:basedOn w:val="DefaultParagraphFont"/>
    <w:link w:val="Heading1"/>
    <w:uiPriority w:val="9"/>
    <w:rsid w:val="00500F57"/>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A67C9F"/>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unhideWhenUsed/>
    <w:rsid w:val="00F0450C"/>
    <w:rPr>
      <w:color w:val="0000FF" w:themeColor="hyperlink"/>
      <w:u w:val="single"/>
    </w:rPr>
  </w:style>
  <w:style w:type="character" w:customStyle="1" w:styleId="apple-converted-space">
    <w:name w:val="apple-converted-space"/>
    <w:basedOn w:val="DefaultParagraphFont"/>
    <w:rsid w:val="00F0450C"/>
  </w:style>
  <w:style w:type="paragraph" w:customStyle="1" w:styleId="Default">
    <w:name w:val="Default"/>
    <w:rsid w:val="00C5127E"/>
    <w:pPr>
      <w:autoSpaceDE w:val="0"/>
      <w:autoSpaceDN w:val="0"/>
      <w:adjustRightInd w:val="0"/>
      <w:spacing w:after="0" w:line="240" w:lineRule="auto"/>
    </w:pPr>
    <w:rPr>
      <w:rFonts w:ascii="Calibri" w:hAnsi="Calibri" w:cs="Calibri"/>
      <w:color w:val="000000"/>
      <w:sz w:val="24"/>
      <w:szCs w:val="24"/>
    </w:rPr>
  </w:style>
  <w:style w:type="character" w:customStyle="1" w:styleId="Heading2Char">
    <w:name w:val="Heading 2 Char"/>
    <w:basedOn w:val="DefaultParagraphFont"/>
    <w:link w:val="Heading2"/>
    <w:uiPriority w:val="9"/>
    <w:rsid w:val="00C5127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5127E"/>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6E32C7"/>
    <w:rPr>
      <w:color w:val="800080" w:themeColor="followedHyperlink"/>
      <w:u w:val="single"/>
    </w:rPr>
  </w:style>
  <w:style w:type="paragraph" w:styleId="BalloonText">
    <w:name w:val="Balloon Text"/>
    <w:basedOn w:val="Normal"/>
    <w:link w:val="BalloonTextChar"/>
    <w:uiPriority w:val="99"/>
    <w:semiHidden/>
    <w:unhideWhenUsed/>
    <w:rsid w:val="00BF5C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5C1B"/>
    <w:rPr>
      <w:rFonts w:ascii="Tahoma" w:hAnsi="Tahoma" w:cs="Tahoma"/>
      <w:sz w:val="16"/>
      <w:szCs w:val="16"/>
    </w:rPr>
  </w:style>
  <w:style w:type="paragraph" w:styleId="Header">
    <w:name w:val="header"/>
    <w:basedOn w:val="Normal"/>
    <w:link w:val="HeaderChar"/>
    <w:uiPriority w:val="99"/>
    <w:unhideWhenUsed/>
    <w:rsid w:val="001D55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1D55E3"/>
  </w:style>
  <w:style w:type="paragraph" w:styleId="Footer">
    <w:name w:val="footer"/>
    <w:basedOn w:val="Normal"/>
    <w:link w:val="FooterChar"/>
    <w:uiPriority w:val="99"/>
    <w:unhideWhenUsed/>
    <w:rsid w:val="001D55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55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00F5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5127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5127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C749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C749C"/>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500F57"/>
    <w:pPr>
      <w:ind w:left="720"/>
      <w:contextualSpacing/>
    </w:pPr>
  </w:style>
  <w:style w:type="character" w:customStyle="1" w:styleId="Heading1Char">
    <w:name w:val="Heading 1 Char"/>
    <w:basedOn w:val="DefaultParagraphFont"/>
    <w:link w:val="Heading1"/>
    <w:uiPriority w:val="9"/>
    <w:rsid w:val="00500F57"/>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uiPriority w:val="99"/>
    <w:unhideWhenUsed/>
    <w:rsid w:val="00A67C9F"/>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styleId="Hyperlink">
    <w:name w:val="Hyperlink"/>
    <w:basedOn w:val="DefaultParagraphFont"/>
    <w:uiPriority w:val="99"/>
    <w:unhideWhenUsed/>
    <w:rsid w:val="00F0450C"/>
    <w:rPr>
      <w:color w:val="0000FF" w:themeColor="hyperlink"/>
      <w:u w:val="single"/>
    </w:rPr>
  </w:style>
  <w:style w:type="character" w:customStyle="1" w:styleId="apple-converted-space">
    <w:name w:val="apple-converted-space"/>
    <w:basedOn w:val="DefaultParagraphFont"/>
    <w:rsid w:val="00F0450C"/>
  </w:style>
  <w:style w:type="paragraph" w:customStyle="1" w:styleId="Default">
    <w:name w:val="Default"/>
    <w:rsid w:val="00C5127E"/>
    <w:pPr>
      <w:autoSpaceDE w:val="0"/>
      <w:autoSpaceDN w:val="0"/>
      <w:adjustRightInd w:val="0"/>
      <w:spacing w:after="0" w:line="240" w:lineRule="auto"/>
    </w:pPr>
    <w:rPr>
      <w:rFonts w:ascii="Calibri" w:hAnsi="Calibri" w:cs="Calibri"/>
      <w:color w:val="000000"/>
      <w:sz w:val="24"/>
      <w:szCs w:val="24"/>
    </w:rPr>
  </w:style>
  <w:style w:type="character" w:customStyle="1" w:styleId="Heading2Char">
    <w:name w:val="Heading 2 Char"/>
    <w:basedOn w:val="DefaultParagraphFont"/>
    <w:link w:val="Heading2"/>
    <w:uiPriority w:val="9"/>
    <w:rsid w:val="00C5127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5127E"/>
    <w:rPr>
      <w:rFonts w:asciiTheme="majorHAnsi" w:eastAsiaTheme="majorEastAsia" w:hAnsiTheme="majorHAnsi" w:cstheme="majorBidi"/>
      <w:b/>
      <w:bCs/>
      <w:color w:val="4F81BD" w:themeColor="accent1"/>
    </w:rPr>
  </w:style>
  <w:style w:type="character" w:styleId="FollowedHyperlink">
    <w:name w:val="FollowedHyperlink"/>
    <w:basedOn w:val="DefaultParagraphFont"/>
    <w:uiPriority w:val="99"/>
    <w:semiHidden/>
    <w:unhideWhenUsed/>
    <w:rsid w:val="006E32C7"/>
    <w:rPr>
      <w:color w:val="800080" w:themeColor="followedHyperlink"/>
      <w:u w:val="single"/>
    </w:rPr>
  </w:style>
  <w:style w:type="paragraph" w:styleId="BalloonText">
    <w:name w:val="Balloon Text"/>
    <w:basedOn w:val="Normal"/>
    <w:link w:val="BalloonTextChar"/>
    <w:uiPriority w:val="99"/>
    <w:semiHidden/>
    <w:unhideWhenUsed/>
    <w:rsid w:val="00BF5C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5C1B"/>
    <w:rPr>
      <w:rFonts w:ascii="Tahoma" w:hAnsi="Tahoma" w:cs="Tahoma"/>
      <w:sz w:val="16"/>
      <w:szCs w:val="16"/>
    </w:rPr>
  </w:style>
  <w:style w:type="paragraph" w:styleId="Header">
    <w:name w:val="header"/>
    <w:basedOn w:val="Normal"/>
    <w:link w:val="HeaderChar"/>
    <w:uiPriority w:val="99"/>
    <w:unhideWhenUsed/>
    <w:rsid w:val="001D55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1D55E3"/>
  </w:style>
  <w:style w:type="paragraph" w:styleId="Footer">
    <w:name w:val="footer"/>
    <w:basedOn w:val="Normal"/>
    <w:link w:val="FooterChar"/>
    <w:uiPriority w:val="99"/>
    <w:unhideWhenUsed/>
    <w:rsid w:val="001D55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55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86010">
      <w:bodyDiv w:val="1"/>
      <w:marLeft w:val="0"/>
      <w:marRight w:val="0"/>
      <w:marTop w:val="0"/>
      <w:marBottom w:val="0"/>
      <w:divBdr>
        <w:top w:val="none" w:sz="0" w:space="0" w:color="auto"/>
        <w:left w:val="none" w:sz="0" w:space="0" w:color="auto"/>
        <w:bottom w:val="none" w:sz="0" w:space="0" w:color="auto"/>
        <w:right w:val="none" w:sz="0" w:space="0" w:color="auto"/>
      </w:divBdr>
      <w:divsChild>
        <w:div w:id="996417735">
          <w:marLeft w:val="0"/>
          <w:marRight w:val="0"/>
          <w:marTop w:val="0"/>
          <w:marBottom w:val="0"/>
          <w:divBdr>
            <w:top w:val="none" w:sz="0" w:space="0" w:color="auto"/>
            <w:left w:val="none" w:sz="0" w:space="0" w:color="auto"/>
            <w:bottom w:val="none" w:sz="0" w:space="0" w:color="auto"/>
            <w:right w:val="none" w:sz="0" w:space="0" w:color="auto"/>
          </w:divBdr>
        </w:div>
        <w:div w:id="319431048">
          <w:marLeft w:val="0"/>
          <w:marRight w:val="0"/>
          <w:marTop w:val="0"/>
          <w:marBottom w:val="0"/>
          <w:divBdr>
            <w:top w:val="none" w:sz="0" w:space="0" w:color="auto"/>
            <w:left w:val="none" w:sz="0" w:space="0" w:color="auto"/>
            <w:bottom w:val="none" w:sz="0" w:space="0" w:color="auto"/>
            <w:right w:val="none" w:sz="0" w:space="0" w:color="auto"/>
          </w:divBdr>
        </w:div>
        <w:div w:id="2072337911">
          <w:marLeft w:val="0"/>
          <w:marRight w:val="0"/>
          <w:marTop w:val="0"/>
          <w:marBottom w:val="0"/>
          <w:divBdr>
            <w:top w:val="none" w:sz="0" w:space="0" w:color="auto"/>
            <w:left w:val="none" w:sz="0" w:space="0" w:color="auto"/>
            <w:bottom w:val="none" w:sz="0" w:space="0" w:color="auto"/>
            <w:right w:val="none" w:sz="0" w:space="0" w:color="auto"/>
          </w:divBdr>
        </w:div>
      </w:divsChild>
    </w:div>
    <w:div w:id="112021336">
      <w:bodyDiv w:val="1"/>
      <w:marLeft w:val="0"/>
      <w:marRight w:val="0"/>
      <w:marTop w:val="0"/>
      <w:marBottom w:val="0"/>
      <w:divBdr>
        <w:top w:val="none" w:sz="0" w:space="0" w:color="auto"/>
        <w:left w:val="none" w:sz="0" w:space="0" w:color="auto"/>
        <w:bottom w:val="none" w:sz="0" w:space="0" w:color="auto"/>
        <w:right w:val="none" w:sz="0" w:space="0" w:color="auto"/>
      </w:divBdr>
    </w:div>
    <w:div w:id="266082442">
      <w:bodyDiv w:val="1"/>
      <w:marLeft w:val="0"/>
      <w:marRight w:val="0"/>
      <w:marTop w:val="0"/>
      <w:marBottom w:val="0"/>
      <w:divBdr>
        <w:top w:val="none" w:sz="0" w:space="0" w:color="auto"/>
        <w:left w:val="none" w:sz="0" w:space="0" w:color="auto"/>
        <w:bottom w:val="none" w:sz="0" w:space="0" w:color="auto"/>
        <w:right w:val="none" w:sz="0" w:space="0" w:color="auto"/>
      </w:divBdr>
    </w:div>
    <w:div w:id="672025105">
      <w:bodyDiv w:val="1"/>
      <w:marLeft w:val="0"/>
      <w:marRight w:val="0"/>
      <w:marTop w:val="0"/>
      <w:marBottom w:val="0"/>
      <w:divBdr>
        <w:top w:val="none" w:sz="0" w:space="0" w:color="auto"/>
        <w:left w:val="none" w:sz="0" w:space="0" w:color="auto"/>
        <w:bottom w:val="none" w:sz="0" w:space="0" w:color="auto"/>
        <w:right w:val="none" w:sz="0" w:space="0" w:color="auto"/>
      </w:divBdr>
      <w:divsChild>
        <w:div w:id="625938741">
          <w:marLeft w:val="0"/>
          <w:marRight w:val="0"/>
          <w:marTop w:val="0"/>
          <w:marBottom w:val="0"/>
          <w:divBdr>
            <w:top w:val="none" w:sz="0" w:space="0" w:color="auto"/>
            <w:left w:val="none" w:sz="0" w:space="0" w:color="auto"/>
            <w:bottom w:val="none" w:sz="0" w:space="0" w:color="auto"/>
            <w:right w:val="none" w:sz="0" w:space="0" w:color="auto"/>
          </w:divBdr>
        </w:div>
        <w:div w:id="520897436">
          <w:marLeft w:val="0"/>
          <w:marRight w:val="0"/>
          <w:marTop w:val="0"/>
          <w:marBottom w:val="0"/>
          <w:divBdr>
            <w:top w:val="none" w:sz="0" w:space="0" w:color="auto"/>
            <w:left w:val="none" w:sz="0" w:space="0" w:color="auto"/>
            <w:bottom w:val="none" w:sz="0" w:space="0" w:color="auto"/>
            <w:right w:val="none" w:sz="0" w:space="0" w:color="auto"/>
          </w:divBdr>
        </w:div>
        <w:div w:id="1303927147">
          <w:marLeft w:val="0"/>
          <w:marRight w:val="0"/>
          <w:marTop w:val="0"/>
          <w:marBottom w:val="0"/>
          <w:divBdr>
            <w:top w:val="none" w:sz="0" w:space="0" w:color="auto"/>
            <w:left w:val="none" w:sz="0" w:space="0" w:color="auto"/>
            <w:bottom w:val="none" w:sz="0" w:space="0" w:color="auto"/>
            <w:right w:val="none" w:sz="0" w:space="0" w:color="auto"/>
          </w:divBdr>
        </w:div>
        <w:div w:id="99882186">
          <w:marLeft w:val="0"/>
          <w:marRight w:val="0"/>
          <w:marTop w:val="0"/>
          <w:marBottom w:val="0"/>
          <w:divBdr>
            <w:top w:val="none" w:sz="0" w:space="0" w:color="auto"/>
            <w:left w:val="none" w:sz="0" w:space="0" w:color="auto"/>
            <w:bottom w:val="none" w:sz="0" w:space="0" w:color="auto"/>
            <w:right w:val="none" w:sz="0" w:space="0" w:color="auto"/>
          </w:divBdr>
        </w:div>
        <w:div w:id="198320855">
          <w:marLeft w:val="0"/>
          <w:marRight w:val="0"/>
          <w:marTop w:val="0"/>
          <w:marBottom w:val="0"/>
          <w:divBdr>
            <w:top w:val="none" w:sz="0" w:space="0" w:color="auto"/>
            <w:left w:val="none" w:sz="0" w:space="0" w:color="auto"/>
            <w:bottom w:val="none" w:sz="0" w:space="0" w:color="auto"/>
            <w:right w:val="none" w:sz="0" w:space="0" w:color="auto"/>
          </w:divBdr>
        </w:div>
      </w:divsChild>
    </w:div>
    <w:div w:id="830029480">
      <w:bodyDiv w:val="1"/>
      <w:marLeft w:val="0"/>
      <w:marRight w:val="0"/>
      <w:marTop w:val="0"/>
      <w:marBottom w:val="0"/>
      <w:divBdr>
        <w:top w:val="none" w:sz="0" w:space="0" w:color="auto"/>
        <w:left w:val="none" w:sz="0" w:space="0" w:color="auto"/>
        <w:bottom w:val="none" w:sz="0" w:space="0" w:color="auto"/>
        <w:right w:val="none" w:sz="0" w:space="0" w:color="auto"/>
      </w:divBdr>
      <w:divsChild>
        <w:div w:id="185484608">
          <w:marLeft w:val="0"/>
          <w:marRight w:val="0"/>
          <w:marTop w:val="0"/>
          <w:marBottom w:val="0"/>
          <w:divBdr>
            <w:top w:val="none" w:sz="0" w:space="0" w:color="auto"/>
            <w:left w:val="none" w:sz="0" w:space="0" w:color="auto"/>
            <w:bottom w:val="none" w:sz="0" w:space="0" w:color="auto"/>
            <w:right w:val="none" w:sz="0" w:space="0" w:color="auto"/>
          </w:divBdr>
        </w:div>
        <w:div w:id="859855775">
          <w:marLeft w:val="0"/>
          <w:marRight w:val="0"/>
          <w:marTop w:val="0"/>
          <w:marBottom w:val="0"/>
          <w:divBdr>
            <w:top w:val="none" w:sz="0" w:space="0" w:color="auto"/>
            <w:left w:val="none" w:sz="0" w:space="0" w:color="auto"/>
            <w:bottom w:val="none" w:sz="0" w:space="0" w:color="auto"/>
            <w:right w:val="none" w:sz="0" w:space="0" w:color="auto"/>
          </w:divBdr>
        </w:div>
        <w:div w:id="1987541099">
          <w:marLeft w:val="0"/>
          <w:marRight w:val="0"/>
          <w:marTop w:val="0"/>
          <w:marBottom w:val="0"/>
          <w:divBdr>
            <w:top w:val="none" w:sz="0" w:space="0" w:color="auto"/>
            <w:left w:val="none" w:sz="0" w:space="0" w:color="auto"/>
            <w:bottom w:val="none" w:sz="0" w:space="0" w:color="auto"/>
            <w:right w:val="none" w:sz="0" w:space="0" w:color="auto"/>
          </w:divBdr>
        </w:div>
        <w:div w:id="1448819189">
          <w:marLeft w:val="0"/>
          <w:marRight w:val="0"/>
          <w:marTop w:val="0"/>
          <w:marBottom w:val="0"/>
          <w:divBdr>
            <w:top w:val="none" w:sz="0" w:space="0" w:color="auto"/>
            <w:left w:val="none" w:sz="0" w:space="0" w:color="auto"/>
            <w:bottom w:val="none" w:sz="0" w:space="0" w:color="auto"/>
            <w:right w:val="none" w:sz="0" w:space="0" w:color="auto"/>
          </w:divBdr>
        </w:div>
        <w:div w:id="131408012">
          <w:marLeft w:val="0"/>
          <w:marRight w:val="0"/>
          <w:marTop w:val="0"/>
          <w:marBottom w:val="0"/>
          <w:divBdr>
            <w:top w:val="none" w:sz="0" w:space="0" w:color="auto"/>
            <w:left w:val="none" w:sz="0" w:space="0" w:color="auto"/>
            <w:bottom w:val="none" w:sz="0" w:space="0" w:color="auto"/>
            <w:right w:val="none" w:sz="0" w:space="0" w:color="auto"/>
          </w:divBdr>
        </w:div>
        <w:div w:id="637151329">
          <w:marLeft w:val="0"/>
          <w:marRight w:val="0"/>
          <w:marTop w:val="0"/>
          <w:marBottom w:val="0"/>
          <w:divBdr>
            <w:top w:val="none" w:sz="0" w:space="0" w:color="auto"/>
            <w:left w:val="none" w:sz="0" w:space="0" w:color="auto"/>
            <w:bottom w:val="none" w:sz="0" w:space="0" w:color="auto"/>
            <w:right w:val="none" w:sz="0" w:space="0" w:color="auto"/>
          </w:divBdr>
        </w:div>
      </w:divsChild>
    </w:div>
    <w:div w:id="853808841">
      <w:bodyDiv w:val="1"/>
      <w:marLeft w:val="0"/>
      <w:marRight w:val="0"/>
      <w:marTop w:val="0"/>
      <w:marBottom w:val="0"/>
      <w:divBdr>
        <w:top w:val="none" w:sz="0" w:space="0" w:color="auto"/>
        <w:left w:val="none" w:sz="0" w:space="0" w:color="auto"/>
        <w:bottom w:val="none" w:sz="0" w:space="0" w:color="auto"/>
        <w:right w:val="none" w:sz="0" w:space="0" w:color="auto"/>
      </w:divBdr>
      <w:divsChild>
        <w:div w:id="2021661869">
          <w:marLeft w:val="0"/>
          <w:marRight w:val="0"/>
          <w:marTop w:val="0"/>
          <w:marBottom w:val="0"/>
          <w:divBdr>
            <w:top w:val="none" w:sz="0" w:space="0" w:color="auto"/>
            <w:left w:val="none" w:sz="0" w:space="0" w:color="auto"/>
            <w:bottom w:val="none" w:sz="0" w:space="0" w:color="auto"/>
            <w:right w:val="none" w:sz="0" w:space="0" w:color="auto"/>
          </w:divBdr>
        </w:div>
        <w:div w:id="735010406">
          <w:marLeft w:val="0"/>
          <w:marRight w:val="0"/>
          <w:marTop w:val="0"/>
          <w:marBottom w:val="0"/>
          <w:divBdr>
            <w:top w:val="none" w:sz="0" w:space="0" w:color="auto"/>
            <w:left w:val="none" w:sz="0" w:space="0" w:color="auto"/>
            <w:bottom w:val="none" w:sz="0" w:space="0" w:color="auto"/>
            <w:right w:val="none" w:sz="0" w:space="0" w:color="auto"/>
          </w:divBdr>
        </w:div>
        <w:div w:id="7220611">
          <w:marLeft w:val="0"/>
          <w:marRight w:val="0"/>
          <w:marTop w:val="0"/>
          <w:marBottom w:val="0"/>
          <w:divBdr>
            <w:top w:val="none" w:sz="0" w:space="0" w:color="auto"/>
            <w:left w:val="none" w:sz="0" w:space="0" w:color="auto"/>
            <w:bottom w:val="none" w:sz="0" w:space="0" w:color="auto"/>
            <w:right w:val="none" w:sz="0" w:space="0" w:color="auto"/>
          </w:divBdr>
        </w:div>
        <w:div w:id="131992639">
          <w:marLeft w:val="0"/>
          <w:marRight w:val="0"/>
          <w:marTop w:val="0"/>
          <w:marBottom w:val="0"/>
          <w:divBdr>
            <w:top w:val="none" w:sz="0" w:space="0" w:color="auto"/>
            <w:left w:val="none" w:sz="0" w:space="0" w:color="auto"/>
            <w:bottom w:val="none" w:sz="0" w:space="0" w:color="auto"/>
            <w:right w:val="none" w:sz="0" w:space="0" w:color="auto"/>
          </w:divBdr>
        </w:div>
        <w:div w:id="1427114550">
          <w:marLeft w:val="0"/>
          <w:marRight w:val="0"/>
          <w:marTop w:val="0"/>
          <w:marBottom w:val="0"/>
          <w:divBdr>
            <w:top w:val="none" w:sz="0" w:space="0" w:color="auto"/>
            <w:left w:val="none" w:sz="0" w:space="0" w:color="auto"/>
            <w:bottom w:val="none" w:sz="0" w:space="0" w:color="auto"/>
            <w:right w:val="none" w:sz="0" w:space="0" w:color="auto"/>
          </w:divBdr>
        </w:div>
      </w:divsChild>
    </w:div>
    <w:div w:id="1030686019">
      <w:bodyDiv w:val="1"/>
      <w:marLeft w:val="0"/>
      <w:marRight w:val="0"/>
      <w:marTop w:val="0"/>
      <w:marBottom w:val="0"/>
      <w:divBdr>
        <w:top w:val="none" w:sz="0" w:space="0" w:color="auto"/>
        <w:left w:val="none" w:sz="0" w:space="0" w:color="auto"/>
        <w:bottom w:val="none" w:sz="0" w:space="0" w:color="auto"/>
        <w:right w:val="none" w:sz="0" w:space="0" w:color="auto"/>
      </w:divBdr>
    </w:div>
    <w:div w:id="1222718641">
      <w:bodyDiv w:val="1"/>
      <w:marLeft w:val="0"/>
      <w:marRight w:val="0"/>
      <w:marTop w:val="0"/>
      <w:marBottom w:val="0"/>
      <w:divBdr>
        <w:top w:val="none" w:sz="0" w:space="0" w:color="auto"/>
        <w:left w:val="none" w:sz="0" w:space="0" w:color="auto"/>
        <w:bottom w:val="none" w:sz="0" w:space="0" w:color="auto"/>
        <w:right w:val="none" w:sz="0" w:space="0" w:color="auto"/>
      </w:divBdr>
      <w:divsChild>
        <w:div w:id="1059746678">
          <w:marLeft w:val="0"/>
          <w:marRight w:val="0"/>
          <w:marTop w:val="0"/>
          <w:marBottom w:val="0"/>
          <w:divBdr>
            <w:top w:val="none" w:sz="0" w:space="0" w:color="auto"/>
            <w:left w:val="none" w:sz="0" w:space="0" w:color="auto"/>
            <w:bottom w:val="none" w:sz="0" w:space="0" w:color="auto"/>
            <w:right w:val="none" w:sz="0" w:space="0" w:color="auto"/>
          </w:divBdr>
        </w:div>
        <w:div w:id="846333480">
          <w:marLeft w:val="0"/>
          <w:marRight w:val="0"/>
          <w:marTop w:val="0"/>
          <w:marBottom w:val="0"/>
          <w:divBdr>
            <w:top w:val="none" w:sz="0" w:space="0" w:color="auto"/>
            <w:left w:val="none" w:sz="0" w:space="0" w:color="auto"/>
            <w:bottom w:val="none" w:sz="0" w:space="0" w:color="auto"/>
            <w:right w:val="none" w:sz="0" w:space="0" w:color="auto"/>
          </w:divBdr>
        </w:div>
        <w:div w:id="753279981">
          <w:marLeft w:val="0"/>
          <w:marRight w:val="0"/>
          <w:marTop w:val="0"/>
          <w:marBottom w:val="0"/>
          <w:divBdr>
            <w:top w:val="none" w:sz="0" w:space="0" w:color="auto"/>
            <w:left w:val="none" w:sz="0" w:space="0" w:color="auto"/>
            <w:bottom w:val="none" w:sz="0" w:space="0" w:color="auto"/>
            <w:right w:val="none" w:sz="0" w:space="0" w:color="auto"/>
          </w:divBdr>
        </w:div>
        <w:div w:id="1157452285">
          <w:marLeft w:val="0"/>
          <w:marRight w:val="0"/>
          <w:marTop w:val="0"/>
          <w:marBottom w:val="0"/>
          <w:divBdr>
            <w:top w:val="none" w:sz="0" w:space="0" w:color="auto"/>
            <w:left w:val="none" w:sz="0" w:space="0" w:color="auto"/>
            <w:bottom w:val="none" w:sz="0" w:space="0" w:color="auto"/>
            <w:right w:val="none" w:sz="0" w:space="0" w:color="auto"/>
          </w:divBdr>
        </w:div>
        <w:div w:id="2014409829">
          <w:marLeft w:val="0"/>
          <w:marRight w:val="0"/>
          <w:marTop w:val="0"/>
          <w:marBottom w:val="0"/>
          <w:divBdr>
            <w:top w:val="none" w:sz="0" w:space="0" w:color="auto"/>
            <w:left w:val="none" w:sz="0" w:space="0" w:color="auto"/>
            <w:bottom w:val="none" w:sz="0" w:space="0" w:color="auto"/>
            <w:right w:val="none" w:sz="0" w:space="0" w:color="auto"/>
          </w:divBdr>
        </w:div>
        <w:div w:id="2035645954">
          <w:marLeft w:val="0"/>
          <w:marRight w:val="0"/>
          <w:marTop w:val="0"/>
          <w:marBottom w:val="0"/>
          <w:divBdr>
            <w:top w:val="none" w:sz="0" w:space="0" w:color="auto"/>
            <w:left w:val="none" w:sz="0" w:space="0" w:color="auto"/>
            <w:bottom w:val="none" w:sz="0" w:space="0" w:color="auto"/>
            <w:right w:val="none" w:sz="0" w:space="0" w:color="auto"/>
          </w:divBdr>
        </w:div>
        <w:div w:id="1327437838">
          <w:marLeft w:val="0"/>
          <w:marRight w:val="0"/>
          <w:marTop w:val="0"/>
          <w:marBottom w:val="0"/>
          <w:divBdr>
            <w:top w:val="none" w:sz="0" w:space="0" w:color="auto"/>
            <w:left w:val="none" w:sz="0" w:space="0" w:color="auto"/>
            <w:bottom w:val="none" w:sz="0" w:space="0" w:color="auto"/>
            <w:right w:val="none" w:sz="0" w:space="0" w:color="auto"/>
          </w:divBdr>
        </w:div>
        <w:div w:id="1565868101">
          <w:marLeft w:val="0"/>
          <w:marRight w:val="0"/>
          <w:marTop w:val="0"/>
          <w:marBottom w:val="0"/>
          <w:divBdr>
            <w:top w:val="none" w:sz="0" w:space="0" w:color="auto"/>
            <w:left w:val="none" w:sz="0" w:space="0" w:color="auto"/>
            <w:bottom w:val="none" w:sz="0" w:space="0" w:color="auto"/>
            <w:right w:val="none" w:sz="0" w:space="0" w:color="auto"/>
          </w:divBdr>
        </w:div>
        <w:div w:id="583491582">
          <w:marLeft w:val="0"/>
          <w:marRight w:val="0"/>
          <w:marTop w:val="0"/>
          <w:marBottom w:val="0"/>
          <w:divBdr>
            <w:top w:val="none" w:sz="0" w:space="0" w:color="auto"/>
            <w:left w:val="none" w:sz="0" w:space="0" w:color="auto"/>
            <w:bottom w:val="none" w:sz="0" w:space="0" w:color="auto"/>
            <w:right w:val="none" w:sz="0" w:space="0" w:color="auto"/>
          </w:divBdr>
        </w:div>
        <w:div w:id="849567214">
          <w:marLeft w:val="0"/>
          <w:marRight w:val="0"/>
          <w:marTop w:val="0"/>
          <w:marBottom w:val="0"/>
          <w:divBdr>
            <w:top w:val="none" w:sz="0" w:space="0" w:color="auto"/>
            <w:left w:val="none" w:sz="0" w:space="0" w:color="auto"/>
            <w:bottom w:val="none" w:sz="0" w:space="0" w:color="auto"/>
            <w:right w:val="none" w:sz="0" w:space="0" w:color="auto"/>
          </w:divBdr>
        </w:div>
        <w:div w:id="580992289">
          <w:marLeft w:val="0"/>
          <w:marRight w:val="0"/>
          <w:marTop w:val="0"/>
          <w:marBottom w:val="0"/>
          <w:divBdr>
            <w:top w:val="none" w:sz="0" w:space="0" w:color="auto"/>
            <w:left w:val="none" w:sz="0" w:space="0" w:color="auto"/>
            <w:bottom w:val="none" w:sz="0" w:space="0" w:color="auto"/>
            <w:right w:val="none" w:sz="0" w:space="0" w:color="auto"/>
          </w:divBdr>
        </w:div>
        <w:div w:id="958606325">
          <w:marLeft w:val="0"/>
          <w:marRight w:val="0"/>
          <w:marTop w:val="0"/>
          <w:marBottom w:val="0"/>
          <w:divBdr>
            <w:top w:val="none" w:sz="0" w:space="0" w:color="auto"/>
            <w:left w:val="none" w:sz="0" w:space="0" w:color="auto"/>
            <w:bottom w:val="none" w:sz="0" w:space="0" w:color="auto"/>
            <w:right w:val="none" w:sz="0" w:space="0" w:color="auto"/>
          </w:divBdr>
        </w:div>
        <w:div w:id="1549339316">
          <w:marLeft w:val="0"/>
          <w:marRight w:val="0"/>
          <w:marTop w:val="0"/>
          <w:marBottom w:val="0"/>
          <w:divBdr>
            <w:top w:val="none" w:sz="0" w:space="0" w:color="auto"/>
            <w:left w:val="none" w:sz="0" w:space="0" w:color="auto"/>
            <w:bottom w:val="none" w:sz="0" w:space="0" w:color="auto"/>
            <w:right w:val="none" w:sz="0" w:space="0" w:color="auto"/>
          </w:divBdr>
        </w:div>
        <w:div w:id="720326590">
          <w:marLeft w:val="0"/>
          <w:marRight w:val="0"/>
          <w:marTop w:val="0"/>
          <w:marBottom w:val="0"/>
          <w:divBdr>
            <w:top w:val="none" w:sz="0" w:space="0" w:color="auto"/>
            <w:left w:val="none" w:sz="0" w:space="0" w:color="auto"/>
            <w:bottom w:val="none" w:sz="0" w:space="0" w:color="auto"/>
            <w:right w:val="none" w:sz="0" w:space="0" w:color="auto"/>
          </w:divBdr>
        </w:div>
        <w:div w:id="1350912911">
          <w:marLeft w:val="0"/>
          <w:marRight w:val="0"/>
          <w:marTop w:val="0"/>
          <w:marBottom w:val="0"/>
          <w:divBdr>
            <w:top w:val="none" w:sz="0" w:space="0" w:color="auto"/>
            <w:left w:val="none" w:sz="0" w:space="0" w:color="auto"/>
            <w:bottom w:val="none" w:sz="0" w:space="0" w:color="auto"/>
            <w:right w:val="none" w:sz="0" w:space="0" w:color="auto"/>
          </w:divBdr>
        </w:div>
      </w:divsChild>
    </w:div>
    <w:div w:id="1280063377">
      <w:bodyDiv w:val="1"/>
      <w:marLeft w:val="0"/>
      <w:marRight w:val="0"/>
      <w:marTop w:val="0"/>
      <w:marBottom w:val="0"/>
      <w:divBdr>
        <w:top w:val="none" w:sz="0" w:space="0" w:color="auto"/>
        <w:left w:val="none" w:sz="0" w:space="0" w:color="auto"/>
        <w:bottom w:val="none" w:sz="0" w:space="0" w:color="auto"/>
        <w:right w:val="none" w:sz="0" w:space="0" w:color="auto"/>
      </w:divBdr>
      <w:divsChild>
        <w:div w:id="1420062033">
          <w:marLeft w:val="0"/>
          <w:marRight w:val="0"/>
          <w:marTop w:val="0"/>
          <w:marBottom w:val="0"/>
          <w:divBdr>
            <w:top w:val="none" w:sz="0" w:space="0" w:color="auto"/>
            <w:left w:val="none" w:sz="0" w:space="0" w:color="auto"/>
            <w:bottom w:val="none" w:sz="0" w:space="0" w:color="auto"/>
            <w:right w:val="none" w:sz="0" w:space="0" w:color="auto"/>
          </w:divBdr>
        </w:div>
        <w:div w:id="1459101989">
          <w:marLeft w:val="0"/>
          <w:marRight w:val="0"/>
          <w:marTop w:val="0"/>
          <w:marBottom w:val="0"/>
          <w:divBdr>
            <w:top w:val="none" w:sz="0" w:space="0" w:color="auto"/>
            <w:left w:val="none" w:sz="0" w:space="0" w:color="auto"/>
            <w:bottom w:val="none" w:sz="0" w:space="0" w:color="auto"/>
            <w:right w:val="none" w:sz="0" w:space="0" w:color="auto"/>
          </w:divBdr>
        </w:div>
        <w:div w:id="446236874">
          <w:marLeft w:val="0"/>
          <w:marRight w:val="0"/>
          <w:marTop w:val="0"/>
          <w:marBottom w:val="0"/>
          <w:divBdr>
            <w:top w:val="none" w:sz="0" w:space="0" w:color="auto"/>
            <w:left w:val="none" w:sz="0" w:space="0" w:color="auto"/>
            <w:bottom w:val="none" w:sz="0" w:space="0" w:color="auto"/>
            <w:right w:val="none" w:sz="0" w:space="0" w:color="auto"/>
          </w:divBdr>
        </w:div>
        <w:div w:id="1017194896">
          <w:marLeft w:val="0"/>
          <w:marRight w:val="0"/>
          <w:marTop w:val="0"/>
          <w:marBottom w:val="0"/>
          <w:divBdr>
            <w:top w:val="none" w:sz="0" w:space="0" w:color="auto"/>
            <w:left w:val="none" w:sz="0" w:space="0" w:color="auto"/>
            <w:bottom w:val="none" w:sz="0" w:space="0" w:color="auto"/>
            <w:right w:val="none" w:sz="0" w:space="0" w:color="auto"/>
          </w:divBdr>
        </w:div>
        <w:div w:id="2112584899">
          <w:marLeft w:val="0"/>
          <w:marRight w:val="0"/>
          <w:marTop w:val="0"/>
          <w:marBottom w:val="0"/>
          <w:divBdr>
            <w:top w:val="none" w:sz="0" w:space="0" w:color="auto"/>
            <w:left w:val="none" w:sz="0" w:space="0" w:color="auto"/>
            <w:bottom w:val="none" w:sz="0" w:space="0" w:color="auto"/>
            <w:right w:val="none" w:sz="0" w:space="0" w:color="auto"/>
          </w:divBdr>
        </w:div>
        <w:div w:id="1845050950">
          <w:marLeft w:val="0"/>
          <w:marRight w:val="0"/>
          <w:marTop w:val="0"/>
          <w:marBottom w:val="0"/>
          <w:divBdr>
            <w:top w:val="none" w:sz="0" w:space="0" w:color="auto"/>
            <w:left w:val="none" w:sz="0" w:space="0" w:color="auto"/>
            <w:bottom w:val="none" w:sz="0" w:space="0" w:color="auto"/>
            <w:right w:val="none" w:sz="0" w:space="0" w:color="auto"/>
          </w:divBdr>
        </w:div>
        <w:div w:id="222524963">
          <w:marLeft w:val="0"/>
          <w:marRight w:val="0"/>
          <w:marTop w:val="0"/>
          <w:marBottom w:val="0"/>
          <w:divBdr>
            <w:top w:val="none" w:sz="0" w:space="0" w:color="auto"/>
            <w:left w:val="none" w:sz="0" w:space="0" w:color="auto"/>
            <w:bottom w:val="none" w:sz="0" w:space="0" w:color="auto"/>
            <w:right w:val="none" w:sz="0" w:space="0" w:color="auto"/>
          </w:divBdr>
        </w:div>
        <w:div w:id="1245646287">
          <w:marLeft w:val="0"/>
          <w:marRight w:val="0"/>
          <w:marTop w:val="0"/>
          <w:marBottom w:val="0"/>
          <w:divBdr>
            <w:top w:val="none" w:sz="0" w:space="0" w:color="auto"/>
            <w:left w:val="none" w:sz="0" w:space="0" w:color="auto"/>
            <w:bottom w:val="none" w:sz="0" w:space="0" w:color="auto"/>
            <w:right w:val="none" w:sz="0" w:space="0" w:color="auto"/>
          </w:divBdr>
        </w:div>
        <w:div w:id="1494372757">
          <w:marLeft w:val="0"/>
          <w:marRight w:val="0"/>
          <w:marTop w:val="0"/>
          <w:marBottom w:val="0"/>
          <w:divBdr>
            <w:top w:val="none" w:sz="0" w:space="0" w:color="auto"/>
            <w:left w:val="none" w:sz="0" w:space="0" w:color="auto"/>
            <w:bottom w:val="none" w:sz="0" w:space="0" w:color="auto"/>
            <w:right w:val="none" w:sz="0" w:space="0" w:color="auto"/>
          </w:divBdr>
        </w:div>
        <w:div w:id="1880706302">
          <w:marLeft w:val="0"/>
          <w:marRight w:val="0"/>
          <w:marTop w:val="0"/>
          <w:marBottom w:val="0"/>
          <w:divBdr>
            <w:top w:val="none" w:sz="0" w:space="0" w:color="auto"/>
            <w:left w:val="none" w:sz="0" w:space="0" w:color="auto"/>
            <w:bottom w:val="none" w:sz="0" w:space="0" w:color="auto"/>
            <w:right w:val="none" w:sz="0" w:space="0" w:color="auto"/>
          </w:divBdr>
        </w:div>
      </w:divsChild>
    </w:div>
    <w:div w:id="1541472909">
      <w:bodyDiv w:val="1"/>
      <w:marLeft w:val="0"/>
      <w:marRight w:val="0"/>
      <w:marTop w:val="0"/>
      <w:marBottom w:val="0"/>
      <w:divBdr>
        <w:top w:val="none" w:sz="0" w:space="0" w:color="auto"/>
        <w:left w:val="none" w:sz="0" w:space="0" w:color="auto"/>
        <w:bottom w:val="none" w:sz="0" w:space="0" w:color="auto"/>
        <w:right w:val="none" w:sz="0" w:space="0" w:color="auto"/>
      </w:divBdr>
      <w:divsChild>
        <w:div w:id="1352075637">
          <w:marLeft w:val="0"/>
          <w:marRight w:val="0"/>
          <w:marTop w:val="0"/>
          <w:marBottom w:val="0"/>
          <w:divBdr>
            <w:top w:val="none" w:sz="0" w:space="0" w:color="auto"/>
            <w:left w:val="none" w:sz="0" w:space="0" w:color="auto"/>
            <w:bottom w:val="none" w:sz="0" w:space="0" w:color="auto"/>
            <w:right w:val="none" w:sz="0" w:space="0" w:color="auto"/>
          </w:divBdr>
        </w:div>
        <w:div w:id="1197617498">
          <w:marLeft w:val="0"/>
          <w:marRight w:val="0"/>
          <w:marTop w:val="0"/>
          <w:marBottom w:val="0"/>
          <w:divBdr>
            <w:top w:val="none" w:sz="0" w:space="0" w:color="auto"/>
            <w:left w:val="none" w:sz="0" w:space="0" w:color="auto"/>
            <w:bottom w:val="none" w:sz="0" w:space="0" w:color="auto"/>
            <w:right w:val="none" w:sz="0" w:space="0" w:color="auto"/>
          </w:divBdr>
        </w:div>
      </w:divsChild>
    </w:div>
    <w:div w:id="1789200155">
      <w:bodyDiv w:val="1"/>
      <w:marLeft w:val="0"/>
      <w:marRight w:val="0"/>
      <w:marTop w:val="0"/>
      <w:marBottom w:val="0"/>
      <w:divBdr>
        <w:top w:val="none" w:sz="0" w:space="0" w:color="auto"/>
        <w:left w:val="none" w:sz="0" w:space="0" w:color="auto"/>
        <w:bottom w:val="none" w:sz="0" w:space="0" w:color="auto"/>
        <w:right w:val="none" w:sz="0" w:space="0" w:color="auto"/>
      </w:divBdr>
    </w:div>
    <w:div w:id="1898514213">
      <w:bodyDiv w:val="1"/>
      <w:marLeft w:val="0"/>
      <w:marRight w:val="0"/>
      <w:marTop w:val="0"/>
      <w:marBottom w:val="0"/>
      <w:divBdr>
        <w:top w:val="none" w:sz="0" w:space="0" w:color="auto"/>
        <w:left w:val="none" w:sz="0" w:space="0" w:color="auto"/>
        <w:bottom w:val="none" w:sz="0" w:space="0" w:color="auto"/>
        <w:right w:val="none" w:sz="0" w:space="0" w:color="auto"/>
      </w:divBdr>
      <w:divsChild>
        <w:div w:id="604925089">
          <w:marLeft w:val="0"/>
          <w:marRight w:val="0"/>
          <w:marTop w:val="0"/>
          <w:marBottom w:val="0"/>
          <w:divBdr>
            <w:top w:val="none" w:sz="0" w:space="0" w:color="auto"/>
            <w:left w:val="none" w:sz="0" w:space="0" w:color="auto"/>
            <w:bottom w:val="none" w:sz="0" w:space="0" w:color="auto"/>
            <w:right w:val="none" w:sz="0" w:space="0" w:color="auto"/>
          </w:divBdr>
        </w:div>
        <w:div w:id="2124761054">
          <w:marLeft w:val="0"/>
          <w:marRight w:val="0"/>
          <w:marTop w:val="0"/>
          <w:marBottom w:val="0"/>
          <w:divBdr>
            <w:top w:val="none" w:sz="0" w:space="0" w:color="auto"/>
            <w:left w:val="none" w:sz="0" w:space="0" w:color="auto"/>
            <w:bottom w:val="none" w:sz="0" w:space="0" w:color="auto"/>
            <w:right w:val="none" w:sz="0" w:space="0" w:color="auto"/>
          </w:divBdr>
        </w:div>
        <w:div w:id="882863358">
          <w:marLeft w:val="0"/>
          <w:marRight w:val="0"/>
          <w:marTop w:val="0"/>
          <w:marBottom w:val="0"/>
          <w:divBdr>
            <w:top w:val="none" w:sz="0" w:space="0" w:color="auto"/>
            <w:left w:val="none" w:sz="0" w:space="0" w:color="auto"/>
            <w:bottom w:val="none" w:sz="0" w:space="0" w:color="auto"/>
            <w:right w:val="none" w:sz="0" w:space="0" w:color="auto"/>
          </w:divBdr>
        </w:div>
        <w:div w:id="8725891">
          <w:marLeft w:val="0"/>
          <w:marRight w:val="0"/>
          <w:marTop w:val="0"/>
          <w:marBottom w:val="0"/>
          <w:divBdr>
            <w:top w:val="none" w:sz="0" w:space="0" w:color="auto"/>
            <w:left w:val="none" w:sz="0" w:space="0" w:color="auto"/>
            <w:bottom w:val="none" w:sz="0" w:space="0" w:color="auto"/>
            <w:right w:val="none" w:sz="0" w:space="0" w:color="auto"/>
          </w:divBdr>
        </w:div>
        <w:div w:id="557938479">
          <w:marLeft w:val="0"/>
          <w:marRight w:val="0"/>
          <w:marTop w:val="0"/>
          <w:marBottom w:val="0"/>
          <w:divBdr>
            <w:top w:val="none" w:sz="0" w:space="0" w:color="auto"/>
            <w:left w:val="none" w:sz="0" w:space="0" w:color="auto"/>
            <w:bottom w:val="none" w:sz="0" w:space="0" w:color="auto"/>
            <w:right w:val="none" w:sz="0" w:space="0" w:color="auto"/>
          </w:divBdr>
        </w:div>
        <w:div w:id="1890610318">
          <w:marLeft w:val="0"/>
          <w:marRight w:val="0"/>
          <w:marTop w:val="0"/>
          <w:marBottom w:val="0"/>
          <w:divBdr>
            <w:top w:val="none" w:sz="0" w:space="0" w:color="auto"/>
            <w:left w:val="none" w:sz="0" w:space="0" w:color="auto"/>
            <w:bottom w:val="none" w:sz="0" w:space="0" w:color="auto"/>
            <w:right w:val="none" w:sz="0" w:space="0" w:color="auto"/>
          </w:divBdr>
        </w:div>
        <w:div w:id="665399667">
          <w:marLeft w:val="0"/>
          <w:marRight w:val="0"/>
          <w:marTop w:val="0"/>
          <w:marBottom w:val="0"/>
          <w:divBdr>
            <w:top w:val="none" w:sz="0" w:space="0" w:color="auto"/>
            <w:left w:val="none" w:sz="0" w:space="0" w:color="auto"/>
            <w:bottom w:val="none" w:sz="0" w:space="0" w:color="auto"/>
            <w:right w:val="none" w:sz="0" w:space="0" w:color="auto"/>
          </w:divBdr>
        </w:div>
        <w:div w:id="751664701">
          <w:marLeft w:val="0"/>
          <w:marRight w:val="0"/>
          <w:marTop w:val="0"/>
          <w:marBottom w:val="0"/>
          <w:divBdr>
            <w:top w:val="none" w:sz="0" w:space="0" w:color="auto"/>
            <w:left w:val="none" w:sz="0" w:space="0" w:color="auto"/>
            <w:bottom w:val="none" w:sz="0" w:space="0" w:color="auto"/>
            <w:right w:val="none" w:sz="0" w:space="0" w:color="auto"/>
          </w:divBdr>
        </w:div>
        <w:div w:id="586041759">
          <w:marLeft w:val="0"/>
          <w:marRight w:val="0"/>
          <w:marTop w:val="0"/>
          <w:marBottom w:val="0"/>
          <w:divBdr>
            <w:top w:val="none" w:sz="0" w:space="0" w:color="auto"/>
            <w:left w:val="none" w:sz="0" w:space="0" w:color="auto"/>
            <w:bottom w:val="none" w:sz="0" w:space="0" w:color="auto"/>
            <w:right w:val="none" w:sz="0" w:space="0" w:color="auto"/>
          </w:divBdr>
        </w:div>
        <w:div w:id="1924676522">
          <w:marLeft w:val="0"/>
          <w:marRight w:val="0"/>
          <w:marTop w:val="0"/>
          <w:marBottom w:val="0"/>
          <w:divBdr>
            <w:top w:val="none" w:sz="0" w:space="0" w:color="auto"/>
            <w:left w:val="none" w:sz="0" w:space="0" w:color="auto"/>
            <w:bottom w:val="none" w:sz="0" w:space="0" w:color="auto"/>
            <w:right w:val="none" w:sz="0" w:space="0" w:color="auto"/>
          </w:divBdr>
        </w:div>
        <w:div w:id="325977728">
          <w:marLeft w:val="0"/>
          <w:marRight w:val="0"/>
          <w:marTop w:val="0"/>
          <w:marBottom w:val="0"/>
          <w:divBdr>
            <w:top w:val="none" w:sz="0" w:space="0" w:color="auto"/>
            <w:left w:val="none" w:sz="0" w:space="0" w:color="auto"/>
            <w:bottom w:val="none" w:sz="0" w:space="0" w:color="auto"/>
            <w:right w:val="none" w:sz="0" w:space="0" w:color="auto"/>
          </w:divBdr>
        </w:div>
        <w:div w:id="1829200409">
          <w:marLeft w:val="0"/>
          <w:marRight w:val="0"/>
          <w:marTop w:val="0"/>
          <w:marBottom w:val="0"/>
          <w:divBdr>
            <w:top w:val="none" w:sz="0" w:space="0" w:color="auto"/>
            <w:left w:val="none" w:sz="0" w:space="0" w:color="auto"/>
            <w:bottom w:val="none" w:sz="0" w:space="0" w:color="auto"/>
            <w:right w:val="none" w:sz="0" w:space="0" w:color="auto"/>
          </w:divBdr>
        </w:div>
        <w:div w:id="82067094">
          <w:marLeft w:val="0"/>
          <w:marRight w:val="0"/>
          <w:marTop w:val="0"/>
          <w:marBottom w:val="0"/>
          <w:divBdr>
            <w:top w:val="none" w:sz="0" w:space="0" w:color="auto"/>
            <w:left w:val="none" w:sz="0" w:space="0" w:color="auto"/>
            <w:bottom w:val="none" w:sz="0" w:space="0" w:color="auto"/>
            <w:right w:val="none" w:sz="0" w:space="0" w:color="auto"/>
          </w:divBdr>
        </w:div>
        <w:div w:id="385643603">
          <w:marLeft w:val="0"/>
          <w:marRight w:val="0"/>
          <w:marTop w:val="0"/>
          <w:marBottom w:val="0"/>
          <w:divBdr>
            <w:top w:val="none" w:sz="0" w:space="0" w:color="auto"/>
            <w:left w:val="none" w:sz="0" w:space="0" w:color="auto"/>
            <w:bottom w:val="none" w:sz="0" w:space="0" w:color="auto"/>
            <w:right w:val="none" w:sz="0" w:space="0" w:color="auto"/>
          </w:divBdr>
        </w:div>
        <w:div w:id="1134181049">
          <w:marLeft w:val="0"/>
          <w:marRight w:val="0"/>
          <w:marTop w:val="0"/>
          <w:marBottom w:val="0"/>
          <w:divBdr>
            <w:top w:val="none" w:sz="0" w:space="0" w:color="auto"/>
            <w:left w:val="none" w:sz="0" w:space="0" w:color="auto"/>
            <w:bottom w:val="none" w:sz="0" w:space="0" w:color="auto"/>
            <w:right w:val="none" w:sz="0" w:space="0" w:color="auto"/>
          </w:divBdr>
        </w:div>
        <w:div w:id="1453935687">
          <w:marLeft w:val="0"/>
          <w:marRight w:val="0"/>
          <w:marTop w:val="0"/>
          <w:marBottom w:val="0"/>
          <w:divBdr>
            <w:top w:val="none" w:sz="0" w:space="0" w:color="auto"/>
            <w:left w:val="none" w:sz="0" w:space="0" w:color="auto"/>
            <w:bottom w:val="none" w:sz="0" w:space="0" w:color="auto"/>
            <w:right w:val="none" w:sz="0" w:space="0" w:color="auto"/>
          </w:divBdr>
        </w:div>
        <w:div w:id="1334256981">
          <w:marLeft w:val="0"/>
          <w:marRight w:val="0"/>
          <w:marTop w:val="0"/>
          <w:marBottom w:val="0"/>
          <w:divBdr>
            <w:top w:val="none" w:sz="0" w:space="0" w:color="auto"/>
            <w:left w:val="none" w:sz="0" w:space="0" w:color="auto"/>
            <w:bottom w:val="none" w:sz="0" w:space="0" w:color="auto"/>
            <w:right w:val="none" w:sz="0" w:space="0" w:color="auto"/>
          </w:divBdr>
        </w:div>
        <w:div w:id="1175803350">
          <w:marLeft w:val="0"/>
          <w:marRight w:val="0"/>
          <w:marTop w:val="0"/>
          <w:marBottom w:val="0"/>
          <w:divBdr>
            <w:top w:val="none" w:sz="0" w:space="0" w:color="auto"/>
            <w:left w:val="none" w:sz="0" w:space="0" w:color="auto"/>
            <w:bottom w:val="none" w:sz="0" w:space="0" w:color="auto"/>
            <w:right w:val="none" w:sz="0" w:space="0" w:color="auto"/>
          </w:divBdr>
        </w:div>
        <w:div w:id="377323122">
          <w:marLeft w:val="0"/>
          <w:marRight w:val="0"/>
          <w:marTop w:val="0"/>
          <w:marBottom w:val="0"/>
          <w:divBdr>
            <w:top w:val="none" w:sz="0" w:space="0" w:color="auto"/>
            <w:left w:val="none" w:sz="0" w:space="0" w:color="auto"/>
            <w:bottom w:val="none" w:sz="0" w:space="0" w:color="auto"/>
            <w:right w:val="none" w:sz="0" w:space="0" w:color="auto"/>
          </w:divBdr>
        </w:div>
        <w:div w:id="183252336">
          <w:marLeft w:val="0"/>
          <w:marRight w:val="0"/>
          <w:marTop w:val="0"/>
          <w:marBottom w:val="0"/>
          <w:divBdr>
            <w:top w:val="none" w:sz="0" w:space="0" w:color="auto"/>
            <w:left w:val="none" w:sz="0" w:space="0" w:color="auto"/>
            <w:bottom w:val="none" w:sz="0" w:space="0" w:color="auto"/>
            <w:right w:val="none" w:sz="0" w:space="0" w:color="auto"/>
          </w:divBdr>
        </w:div>
        <w:div w:id="617565424">
          <w:marLeft w:val="0"/>
          <w:marRight w:val="0"/>
          <w:marTop w:val="0"/>
          <w:marBottom w:val="0"/>
          <w:divBdr>
            <w:top w:val="none" w:sz="0" w:space="0" w:color="auto"/>
            <w:left w:val="none" w:sz="0" w:space="0" w:color="auto"/>
            <w:bottom w:val="none" w:sz="0" w:space="0" w:color="auto"/>
            <w:right w:val="none" w:sz="0" w:space="0" w:color="auto"/>
          </w:divBdr>
        </w:div>
        <w:div w:id="1135634762">
          <w:marLeft w:val="0"/>
          <w:marRight w:val="0"/>
          <w:marTop w:val="0"/>
          <w:marBottom w:val="0"/>
          <w:divBdr>
            <w:top w:val="none" w:sz="0" w:space="0" w:color="auto"/>
            <w:left w:val="none" w:sz="0" w:space="0" w:color="auto"/>
            <w:bottom w:val="none" w:sz="0" w:space="0" w:color="auto"/>
            <w:right w:val="none" w:sz="0" w:space="0" w:color="auto"/>
          </w:divBdr>
        </w:div>
        <w:div w:id="1457987412">
          <w:marLeft w:val="0"/>
          <w:marRight w:val="0"/>
          <w:marTop w:val="0"/>
          <w:marBottom w:val="0"/>
          <w:divBdr>
            <w:top w:val="none" w:sz="0" w:space="0" w:color="auto"/>
            <w:left w:val="none" w:sz="0" w:space="0" w:color="auto"/>
            <w:bottom w:val="none" w:sz="0" w:space="0" w:color="auto"/>
            <w:right w:val="none" w:sz="0" w:space="0" w:color="auto"/>
          </w:divBdr>
        </w:div>
        <w:div w:id="2103672754">
          <w:marLeft w:val="0"/>
          <w:marRight w:val="0"/>
          <w:marTop w:val="0"/>
          <w:marBottom w:val="0"/>
          <w:divBdr>
            <w:top w:val="none" w:sz="0" w:space="0" w:color="auto"/>
            <w:left w:val="none" w:sz="0" w:space="0" w:color="auto"/>
            <w:bottom w:val="none" w:sz="0" w:space="0" w:color="auto"/>
            <w:right w:val="none" w:sz="0" w:space="0" w:color="auto"/>
          </w:divBdr>
        </w:div>
        <w:div w:id="283312278">
          <w:marLeft w:val="0"/>
          <w:marRight w:val="0"/>
          <w:marTop w:val="0"/>
          <w:marBottom w:val="0"/>
          <w:divBdr>
            <w:top w:val="none" w:sz="0" w:space="0" w:color="auto"/>
            <w:left w:val="none" w:sz="0" w:space="0" w:color="auto"/>
            <w:bottom w:val="none" w:sz="0" w:space="0" w:color="auto"/>
            <w:right w:val="none" w:sz="0" w:space="0" w:color="auto"/>
          </w:divBdr>
        </w:div>
        <w:div w:id="2134904695">
          <w:marLeft w:val="0"/>
          <w:marRight w:val="0"/>
          <w:marTop w:val="0"/>
          <w:marBottom w:val="0"/>
          <w:divBdr>
            <w:top w:val="none" w:sz="0" w:space="0" w:color="auto"/>
            <w:left w:val="none" w:sz="0" w:space="0" w:color="auto"/>
            <w:bottom w:val="none" w:sz="0" w:space="0" w:color="auto"/>
            <w:right w:val="none" w:sz="0" w:space="0" w:color="auto"/>
          </w:divBdr>
        </w:div>
        <w:div w:id="1264263216">
          <w:marLeft w:val="0"/>
          <w:marRight w:val="0"/>
          <w:marTop w:val="0"/>
          <w:marBottom w:val="0"/>
          <w:divBdr>
            <w:top w:val="none" w:sz="0" w:space="0" w:color="auto"/>
            <w:left w:val="none" w:sz="0" w:space="0" w:color="auto"/>
            <w:bottom w:val="none" w:sz="0" w:space="0" w:color="auto"/>
            <w:right w:val="none" w:sz="0" w:space="0" w:color="auto"/>
          </w:divBdr>
        </w:div>
        <w:div w:id="1341279930">
          <w:marLeft w:val="0"/>
          <w:marRight w:val="0"/>
          <w:marTop w:val="0"/>
          <w:marBottom w:val="0"/>
          <w:divBdr>
            <w:top w:val="none" w:sz="0" w:space="0" w:color="auto"/>
            <w:left w:val="none" w:sz="0" w:space="0" w:color="auto"/>
            <w:bottom w:val="none" w:sz="0" w:space="0" w:color="auto"/>
            <w:right w:val="none" w:sz="0" w:space="0" w:color="auto"/>
          </w:divBdr>
        </w:div>
        <w:div w:id="1337725971">
          <w:marLeft w:val="0"/>
          <w:marRight w:val="0"/>
          <w:marTop w:val="0"/>
          <w:marBottom w:val="0"/>
          <w:divBdr>
            <w:top w:val="none" w:sz="0" w:space="0" w:color="auto"/>
            <w:left w:val="none" w:sz="0" w:space="0" w:color="auto"/>
            <w:bottom w:val="none" w:sz="0" w:space="0" w:color="auto"/>
            <w:right w:val="none" w:sz="0" w:space="0" w:color="auto"/>
          </w:divBdr>
        </w:div>
        <w:div w:id="460155510">
          <w:marLeft w:val="0"/>
          <w:marRight w:val="0"/>
          <w:marTop w:val="0"/>
          <w:marBottom w:val="0"/>
          <w:divBdr>
            <w:top w:val="none" w:sz="0" w:space="0" w:color="auto"/>
            <w:left w:val="none" w:sz="0" w:space="0" w:color="auto"/>
            <w:bottom w:val="none" w:sz="0" w:space="0" w:color="auto"/>
            <w:right w:val="none" w:sz="0" w:space="0" w:color="auto"/>
          </w:divBdr>
        </w:div>
        <w:div w:id="1518501594">
          <w:marLeft w:val="0"/>
          <w:marRight w:val="0"/>
          <w:marTop w:val="0"/>
          <w:marBottom w:val="0"/>
          <w:divBdr>
            <w:top w:val="none" w:sz="0" w:space="0" w:color="auto"/>
            <w:left w:val="none" w:sz="0" w:space="0" w:color="auto"/>
            <w:bottom w:val="none" w:sz="0" w:space="0" w:color="auto"/>
            <w:right w:val="none" w:sz="0" w:space="0" w:color="auto"/>
          </w:divBdr>
        </w:div>
        <w:div w:id="247275596">
          <w:marLeft w:val="0"/>
          <w:marRight w:val="0"/>
          <w:marTop w:val="0"/>
          <w:marBottom w:val="0"/>
          <w:divBdr>
            <w:top w:val="none" w:sz="0" w:space="0" w:color="auto"/>
            <w:left w:val="none" w:sz="0" w:space="0" w:color="auto"/>
            <w:bottom w:val="none" w:sz="0" w:space="0" w:color="auto"/>
            <w:right w:val="none" w:sz="0" w:space="0" w:color="auto"/>
          </w:divBdr>
        </w:div>
        <w:div w:id="123160023">
          <w:marLeft w:val="0"/>
          <w:marRight w:val="0"/>
          <w:marTop w:val="0"/>
          <w:marBottom w:val="0"/>
          <w:divBdr>
            <w:top w:val="none" w:sz="0" w:space="0" w:color="auto"/>
            <w:left w:val="none" w:sz="0" w:space="0" w:color="auto"/>
            <w:bottom w:val="none" w:sz="0" w:space="0" w:color="auto"/>
            <w:right w:val="none" w:sz="0" w:space="0" w:color="auto"/>
          </w:divBdr>
        </w:div>
        <w:div w:id="1797328251">
          <w:marLeft w:val="0"/>
          <w:marRight w:val="0"/>
          <w:marTop w:val="0"/>
          <w:marBottom w:val="0"/>
          <w:divBdr>
            <w:top w:val="none" w:sz="0" w:space="0" w:color="auto"/>
            <w:left w:val="none" w:sz="0" w:space="0" w:color="auto"/>
            <w:bottom w:val="none" w:sz="0" w:space="0" w:color="auto"/>
            <w:right w:val="none" w:sz="0" w:space="0" w:color="auto"/>
          </w:divBdr>
        </w:div>
        <w:div w:id="689527986">
          <w:marLeft w:val="0"/>
          <w:marRight w:val="0"/>
          <w:marTop w:val="0"/>
          <w:marBottom w:val="0"/>
          <w:divBdr>
            <w:top w:val="none" w:sz="0" w:space="0" w:color="auto"/>
            <w:left w:val="none" w:sz="0" w:space="0" w:color="auto"/>
            <w:bottom w:val="none" w:sz="0" w:space="0" w:color="auto"/>
            <w:right w:val="none" w:sz="0" w:space="0" w:color="auto"/>
          </w:divBdr>
        </w:div>
        <w:div w:id="700326764">
          <w:marLeft w:val="0"/>
          <w:marRight w:val="0"/>
          <w:marTop w:val="0"/>
          <w:marBottom w:val="0"/>
          <w:divBdr>
            <w:top w:val="none" w:sz="0" w:space="0" w:color="auto"/>
            <w:left w:val="none" w:sz="0" w:space="0" w:color="auto"/>
            <w:bottom w:val="none" w:sz="0" w:space="0" w:color="auto"/>
            <w:right w:val="none" w:sz="0" w:space="0" w:color="auto"/>
          </w:divBdr>
        </w:div>
        <w:div w:id="1958952038">
          <w:marLeft w:val="0"/>
          <w:marRight w:val="0"/>
          <w:marTop w:val="0"/>
          <w:marBottom w:val="0"/>
          <w:divBdr>
            <w:top w:val="none" w:sz="0" w:space="0" w:color="auto"/>
            <w:left w:val="none" w:sz="0" w:space="0" w:color="auto"/>
            <w:bottom w:val="none" w:sz="0" w:space="0" w:color="auto"/>
            <w:right w:val="none" w:sz="0" w:space="0" w:color="auto"/>
          </w:divBdr>
        </w:div>
        <w:div w:id="1013999227">
          <w:marLeft w:val="0"/>
          <w:marRight w:val="0"/>
          <w:marTop w:val="0"/>
          <w:marBottom w:val="0"/>
          <w:divBdr>
            <w:top w:val="none" w:sz="0" w:space="0" w:color="auto"/>
            <w:left w:val="none" w:sz="0" w:space="0" w:color="auto"/>
            <w:bottom w:val="none" w:sz="0" w:space="0" w:color="auto"/>
            <w:right w:val="none" w:sz="0" w:space="0" w:color="auto"/>
          </w:divBdr>
        </w:div>
        <w:div w:id="515774897">
          <w:marLeft w:val="0"/>
          <w:marRight w:val="0"/>
          <w:marTop w:val="0"/>
          <w:marBottom w:val="0"/>
          <w:divBdr>
            <w:top w:val="none" w:sz="0" w:space="0" w:color="auto"/>
            <w:left w:val="none" w:sz="0" w:space="0" w:color="auto"/>
            <w:bottom w:val="none" w:sz="0" w:space="0" w:color="auto"/>
            <w:right w:val="none" w:sz="0" w:space="0" w:color="auto"/>
          </w:divBdr>
        </w:div>
        <w:div w:id="593169798">
          <w:marLeft w:val="0"/>
          <w:marRight w:val="0"/>
          <w:marTop w:val="0"/>
          <w:marBottom w:val="0"/>
          <w:divBdr>
            <w:top w:val="none" w:sz="0" w:space="0" w:color="auto"/>
            <w:left w:val="none" w:sz="0" w:space="0" w:color="auto"/>
            <w:bottom w:val="none" w:sz="0" w:space="0" w:color="auto"/>
            <w:right w:val="none" w:sz="0" w:space="0" w:color="auto"/>
          </w:divBdr>
        </w:div>
        <w:div w:id="1454400095">
          <w:marLeft w:val="0"/>
          <w:marRight w:val="0"/>
          <w:marTop w:val="0"/>
          <w:marBottom w:val="0"/>
          <w:divBdr>
            <w:top w:val="none" w:sz="0" w:space="0" w:color="auto"/>
            <w:left w:val="none" w:sz="0" w:space="0" w:color="auto"/>
            <w:bottom w:val="none" w:sz="0" w:space="0" w:color="auto"/>
            <w:right w:val="none" w:sz="0" w:space="0" w:color="auto"/>
          </w:divBdr>
        </w:div>
        <w:div w:id="2145465614">
          <w:marLeft w:val="0"/>
          <w:marRight w:val="0"/>
          <w:marTop w:val="0"/>
          <w:marBottom w:val="0"/>
          <w:divBdr>
            <w:top w:val="none" w:sz="0" w:space="0" w:color="auto"/>
            <w:left w:val="none" w:sz="0" w:space="0" w:color="auto"/>
            <w:bottom w:val="none" w:sz="0" w:space="0" w:color="auto"/>
            <w:right w:val="none" w:sz="0" w:space="0" w:color="auto"/>
          </w:divBdr>
        </w:div>
        <w:div w:id="1961103709">
          <w:marLeft w:val="0"/>
          <w:marRight w:val="0"/>
          <w:marTop w:val="0"/>
          <w:marBottom w:val="0"/>
          <w:divBdr>
            <w:top w:val="none" w:sz="0" w:space="0" w:color="auto"/>
            <w:left w:val="none" w:sz="0" w:space="0" w:color="auto"/>
            <w:bottom w:val="none" w:sz="0" w:space="0" w:color="auto"/>
            <w:right w:val="none" w:sz="0" w:space="0" w:color="auto"/>
          </w:divBdr>
        </w:div>
        <w:div w:id="984435161">
          <w:marLeft w:val="0"/>
          <w:marRight w:val="0"/>
          <w:marTop w:val="0"/>
          <w:marBottom w:val="0"/>
          <w:divBdr>
            <w:top w:val="none" w:sz="0" w:space="0" w:color="auto"/>
            <w:left w:val="none" w:sz="0" w:space="0" w:color="auto"/>
            <w:bottom w:val="none" w:sz="0" w:space="0" w:color="auto"/>
            <w:right w:val="none" w:sz="0" w:space="0" w:color="auto"/>
          </w:divBdr>
        </w:div>
        <w:div w:id="398089913">
          <w:marLeft w:val="0"/>
          <w:marRight w:val="0"/>
          <w:marTop w:val="0"/>
          <w:marBottom w:val="0"/>
          <w:divBdr>
            <w:top w:val="none" w:sz="0" w:space="0" w:color="auto"/>
            <w:left w:val="none" w:sz="0" w:space="0" w:color="auto"/>
            <w:bottom w:val="none" w:sz="0" w:space="0" w:color="auto"/>
            <w:right w:val="none" w:sz="0" w:space="0" w:color="auto"/>
          </w:divBdr>
        </w:div>
        <w:div w:id="2119057619">
          <w:marLeft w:val="0"/>
          <w:marRight w:val="0"/>
          <w:marTop w:val="0"/>
          <w:marBottom w:val="0"/>
          <w:divBdr>
            <w:top w:val="none" w:sz="0" w:space="0" w:color="auto"/>
            <w:left w:val="none" w:sz="0" w:space="0" w:color="auto"/>
            <w:bottom w:val="none" w:sz="0" w:space="0" w:color="auto"/>
            <w:right w:val="none" w:sz="0" w:space="0" w:color="auto"/>
          </w:divBdr>
        </w:div>
        <w:div w:id="1943609597">
          <w:marLeft w:val="0"/>
          <w:marRight w:val="0"/>
          <w:marTop w:val="0"/>
          <w:marBottom w:val="0"/>
          <w:divBdr>
            <w:top w:val="none" w:sz="0" w:space="0" w:color="auto"/>
            <w:left w:val="none" w:sz="0" w:space="0" w:color="auto"/>
            <w:bottom w:val="none" w:sz="0" w:space="0" w:color="auto"/>
            <w:right w:val="none" w:sz="0" w:space="0" w:color="auto"/>
          </w:divBdr>
        </w:div>
        <w:div w:id="147553095">
          <w:marLeft w:val="0"/>
          <w:marRight w:val="0"/>
          <w:marTop w:val="0"/>
          <w:marBottom w:val="0"/>
          <w:divBdr>
            <w:top w:val="none" w:sz="0" w:space="0" w:color="auto"/>
            <w:left w:val="none" w:sz="0" w:space="0" w:color="auto"/>
            <w:bottom w:val="none" w:sz="0" w:space="0" w:color="auto"/>
            <w:right w:val="none" w:sz="0" w:space="0" w:color="auto"/>
          </w:divBdr>
        </w:div>
        <w:div w:id="148139322">
          <w:marLeft w:val="0"/>
          <w:marRight w:val="0"/>
          <w:marTop w:val="0"/>
          <w:marBottom w:val="0"/>
          <w:divBdr>
            <w:top w:val="none" w:sz="0" w:space="0" w:color="auto"/>
            <w:left w:val="none" w:sz="0" w:space="0" w:color="auto"/>
            <w:bottom w:val="none" w:sz="0" w:space="0" w:color="auto"/>
            <w:right w:val="none" w:sz="0" w:space="0" w:color="auto"/>
          </w:divBdr>
        </w:div>
        <w:div w:id="1706558221">
          <w:marLeft w:val="0"/>
          <w:marRight w:val="0"/>
          <w:marTop w:val="0"/>
          <w:marBottom w:val="0"/>
          <w:divBdr>
            <w:top w:val="none" w:sz="0" w:space="0" w:color="auto"/>
            <w:left w:val="none" w:sz="0" w:space="0" w:color="auto"/>
            <w:bottom w:val="none" w:sz="0" w:space="0" w:color="auto"/>
            <w:right w:val="none" w:sz="0" w:space="0" w:color="auto"/>
          </w:divBdr>
        </w:div>
        <w:div w:id="156116211">
          <w:marLeft w:val="0"/>
          <w:marRight w:val="0"/>
          <w:marTop w:val="0"/>
          <w:marBottom w:val="0"/>
          <w:divBdr>
            <w:top w:val="none" w:sz="0" w:space="0" w:color="auto"/>
            <w:left w:val="none" w:sz="0" w:space="0" w:color="auto"/>
            <w:bottom w:val="none" w:sz="0" w:space="0" w:color="auto"/>
            <w:right w:val="none" w:sz="0" w:space="0" w:color="auto"/>
          </w:divBdr>
        </w:div>
        <w:div w:id="432550898">
          <w:marLeft w:val="0"/>
          <w:marRight w:val="0"/>
          <w:marTop w:val="0"/>
          <w:marBottom w:val="0"/>
          <w:divBdr>
            <w:top w:val="none" w:sz="0" w:space="0" w:color="auto"/>
            <w:left w:val="none" w:sz="0" w:space="0" w:color="auto"/>
            <w:bottom w:val="none" w:sz="0" w:space="0" w:color="auto"/>
            <w:right w:val="none" w:sz="0" w:space="0" w:color="auto"/>
          </w:divBdr>
        </w:div>
        <w:div w:id="1731533572">
          <w:marLeft w:val="0"/>
          <w:marRight w:val="0"/>
          <w:marTop w:val="0"/>
          <w:marBottom w:val="0"/>
          <w:divBdr>
            <w:top w:val="none" w:sz="0" w:space="0" w:color="auto"/>
            <w:left w:val="none" w:sz="0" w:space="0" w:color="auto"/>
            <w:bottom w:val="none" w:sz="0" w:space="0" w:color="auto"/>
            <w:right w:val="none" w:sz="0" w:space="0" w:color="auto"/>
          </w:divBdr>
        </w:div>
        <w:div w:id="1934125521">
          <w:marLeft w:val="0"/>
          <w:marRight w:val="0"/>
          <w:marTop w:val="0"/>
          <w:marBottom w:val="0"/>
          <w:divBdr>
            <w:top w:val="none" w:sz="0" w:space="0" w:color="auto"/>
            <w:left w:val="none" w:sz="0" w:space="0" w:color="auto"/>
            <w:bottom w:val="none" w:sz="0" w:space="0" w:color="auto"/>
            <w:right w:val="none" w:sz="0" w:space="0" w:color="auto"/>
          </w:divBdr>
        </w:div>
        <w:div w:id="317418658">
          <w:marLeft w:val="0"/>
          <w:marRight w:val="0"/>
          <w:marTop w:val="0"/>
          <w:marBottom w:val="0"/>
          <w:divBdr>
            <w:top w:val="none" w:sz="0" w:space="0" w:color="auto"/>
            <w:left w:val="none" w:sz="0" w:space="0" w:color="auto"/>
            <w:bottom w:val="none" w:sz="0" w:space="0" w:color="auto"/>
            <w:right w:val="none" w:sz="0" w:space="0" w:color="auto"/>
          </w:divBdr>
        </w:div>
        <w:div w:id="931935612">
          <w:marLeft w:val="0"/>
          <w:marRight w:val="0"/>
          <w:marTop w:val="0"/>
          <w:marBottom w:val="0"/>
          <w:divBdr>
            <w:top w:val="none" w:sz="0" w:space="0" w:color="auto"/>
            <w:left w:val="none" w:sz="0" w:space="0" w:color="auto"/>
            <w:bottom w:val="none" w:sz="0" w:space="0" w:color="auto"/>
            <w:right w:val="none" w:sz="0" w:space="0" w:color="auto"/>
          </w:divBdr>
        </w:div>
        <w:div w:id="2095858086">
          <w:marLeft w:val="0"/>
          <w:marRight w:val="0"/>
          <w:marTop w:val="0"/>
          <w:marBottom w:val="0"/>
          <w:divBdr>
            <w:top w:val="none" w:sz="0" w:space="0" w:color="auto"/>
            <w:left w:val="none" w:sz="0" w:space="0" w:color="auto"/>
            <w:bottom w:val="none" w:sz="0" w:space="0" w:color="auto"/>
            <w:right w:val="none" w:sz="0" w:space="0" w:color="auto"/>
          </w:divBdr>
        </w:div>
        <w:div w:id="351807273">
          <w:marLeft w:val="0"/>
          <w:marRight w:val="0"/>
          <w:marTop w:val="0"/>
          <w:marBottom w:val="0"/>
          <w:divBdr>
            <w:top w:val="none" w:sz="0" w:space="0" w:color="auto"/>
            <w:left w:val="none" w:sz="0" w:space="0" w:color="auto"/>
            <w:bottom w:val="none" w:sz="0" w:space="0" w:color="auto"/>
            <w:right w:val="none" w:sz="0" w:space="0" w:color="auto"/>
          </w:divBdr>
        </w:div>
        <w:div w:id="1762289414">
          <w:marLeft w:val="0"/>
          <w:marRight w:val="0"/>
          <w:marTop w:val="0"/>
          <w:marBottom w:val="0"/>
          <w:divBdr>
            <w:top w:val="none" w:sz="0" w:space="0" w:color="auto"/>
            <w:left w:val="none" w:sz="0" w:space="0" w:color="auto"/>
            <w:bottom w:val="none" w:sz="0" w:space="0" w:color="auto"/>
            <w:right w:val="none" w:sz="0" w:space="0" w:color="auto"/>
          </w:divBdr>
        </w:div>
      </w:divsChild>
    </w:div>
    <w:div w:id="199668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onlinelibrary.wiley.com/doi/10.1111/j.1467-9574.2011.00508.x/abstract" TargetMode="External"/><Relationship Id="rId18" Type="http://schemas.openxmlformats.org/officeDocument/2006/relationships/hyperlink" Target="https://consol.eventsair.com/QuickEventWebsitePortal/itsew2016/itsew16/Speaker" TargetMode="External"/><Relationship Id="rId26" Type="http://schemas.openxmlformats.org/officeDocument/2006/relationships/hyperlink" Target="http://www.stats.govt.nz"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stats.govt.nz/browse_for_stats/income-and-work/employment_and_unemployment/guide-interpreting-the-leed-data/definitions-of-measures.aspx" TargetMode="External"/><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stats.govt.nz/methods/data-integration/guide-to-reporting-on-admin-data-quality.aspx" TargetMode="External"/><Relationship Id="rId17" Type="http://schemas.openxmlformats.org/officeDocument/2006/relationships/hyperlink" Target="http://www.stats.govt.nz/methods/data-integration/guide-to-reporting-on-admin-data-quality.aspx" TargetMode="External"/><Relationship Id="rId25" Type="http://schemas.openxmlformats.org/officeDocument/2006/relationships/hyperlink" Target="http://www.stats.govt.nz/methods/data-integration/data-integration-manual-2edn.aspx" TargetMode="Externa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consol.eventsair.com/QuickEventWebsitePortal/itsew2016/itsew16/Speaker" TargetMode="External"/><Relationship Id="rId20" Type="http://schemas.openxmlformats.org/officeDocument/2006/relationships/hyperlink" Target="http://www.stats.govt.nz" TargetMode="External"/><Relationship Id="rId29" Type="http://schemas.openxmlformats.org/officeDocument/2006/relationships/hyperlink" Target="http://www.stats.govt.nz/methods/data-integration/guide-to-reporting-on-admin-data-quality.aspx"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tats.govt.nz/Census/census-transformation-nz.aspx" TargetMode="External"/><Relationship Id="rId24" Type="http://schemas.openxmlformats.org/officeDocument/2006/relationships/hyperlink" Target="http://www.stats.govt.nz" TargetMode="External"/><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hyperlink" Target="http://www.stats.govt.nz/methods/data-integration/data-integration-projects/student-loans-project.aspx" TargetMode="External"/><Relationship Id="rId28" Type="http://schemas.openxmlformats.org/officeDocument/2006/relationships/hyperlink" Target="http://www.stats.govt.nz" TargetMode="External"/><Relationship Id="rId36" Type="http://schemas.openxmlformats.org/officeDocument/2006/relationships/header" Target="header3.xml"/><Relationship Id="rId10" Type="http://schemas.openxmlformats.org/officeDocument/2006/relationships/hyperlink" Target="http://www.stats.govt.nz/methods/data-integration/guide-to-reporting-on-admin-data-quality.aspx" TargetMode="External"/><Relationship Id="rId19" Type="http://schemas.openxmlformats.org/officeDocument/2006/relationships/hyperlink" Target="http://www.stats.govt.nz/methods/research-papers/working-papers-original/analysis-non-respondents-hlfs-16-02.aspx" TargetMode="External"/><Relationship Id="rId31" Type="http://schemas.openxmlformats.org/officeDocument/2006/relationships/hyperlink" Target="https://consol.eventsair.com/QuickEventWebsitePortal/itsew2016/itsew16/Speaker" TargetMode="External"/><Relationship Id="rId4" Type="http://schemas.microsoft.com/office/2007/relationships/stylesWithEffects" Target="stylesWithEffects.xml"/><Relationship Id="rId9" Type="http://schemas.openxmlformats.org/officeDocument/2006/relationships/hyperlink" Target="http://www.stats.govt.nz/browse_for_stats/snapshots-of-nz/integrated-data-infrastructure/idi-resources/linking-methodology-statsnz-idi.aspx" TargetMode="External"/><Relationship Id="rId14" Type="http://schemas.openxmlformats.org/officeDocument/2006/relationships/image" Target="media/image1.png"/><Relationship Id="rId22" Type="http://schemas.openxmlformats.org/officeDocument/2006/relationships/hyperlink" Target="http://www.stats.govt.nz" TargetMode="External"/><Relationship Id="rId27" Type="http://schemas.openxmlformats.org/officeDocument/2006/relationships/hyperlink" Target="http://www.stats.govt.nz/browse_for_stats/snapshots-of-nz/integrated-data-infrastructure/idi-resources/linking-methodology-statsnz-idi.aspx" TargetMode="External"/><Relationship Id="rId30" Type="http://schemas.openxmlformats.org/officeDocument/2006/relationships/hyperlink" Target="http://www.stats.govt.nz" TargetMode="External"/><Relationship Id="rId35"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B5EB90-D6BA-41DA-9ADC-49098EE07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9</Pages>
  <Words>4646</Words>
  <Characters>26483</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Felibel Zabala</dc:creator>
  <cp:lastModifiedBy>Felibel Zabala</cp:lastModifiedBy>
  <cp:revision>21</cp:revision>
  <dcterms:created xsi:type="dcterms:W3CDTF">2016-11-28T04:46:00Z</dcterms:created>
  <dcterms:modified xsi:type="dcterms:W3CDTF">2016-11-28T09:25:00Z</dcterms:modified>
</cp:coreProperties>
</file>