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828C1A" w14:textId="77777777" w:rsidR="00907D35" w:rsidRDefault="00907D35" w:rsidP="00907D35">
      <w:pPr>
        <w:pStyle w:val="Heading1"/>
        <w:spacing w:before="0" w:line="240" w:lineRule="auto"/>
        <w:jc w:val="center"/>
      </w:pPr>
      <w:bookmarkStart w:id="0" w:name="_GoBack"/>
      <w:r w:rsidRPr="003D2416">
        <w:t>Using administrative data to validate income in</w:t>
      </w:r>
    </w:p>
    <w:p w14:paraId="344572C0" w14:textId="77777777" w:rsidR="00907D35" w:rsidRDefault="00907D35" w:rsidP="00907D35">
      <w:pPr>
        <w:pStyle w:val="Heading1"/>
        <w:spacing w:before="0" w:line="240" w:lineRule="auto"/>
        <w:jc w:val="center"/>
        <w:rPr>
          <w:rFonts w:ascii="Calibri" w:eastAsia="Times New Roman" w:hAnsi="Calibri" w:cs="Calibri"/>
          <w:color w:val="008080"/>
          <w:sz w:val="30"/>
          <w:szCs w:val="30"/>
          <w:lang w:eastAsia="en-NZ"/>
        </w:rPr>
      </w:pPr>
      <w:r w:rsidRPr="003D2416">
        <w:t>Statistics New Zealand’s household surveys</w:t>
      </w:r>
    </w:p>
    <w:bookmarkEnd w:id="0"/>
    <w:p w14:paraId="674FF728" w14:textId="77777777" w:rsidR="00662F76" w:rsidRPr="00662F76" w:rsidRDefault="00662F76" w:rsidP="00662F76">
      <w:pPr>
        <w:autoSpaceDE w:val="0"/>
        <w:autoSpaceDN w:val="0"/>
        <w:adjustRightInd w:val="0"/>
        <w:spacing w:before="240" w:after="0" w:line="240" w:lineRule="auto"/>
        <w:jc w:val="both"/>
        <w:rPr>
          <w:rFonts w:cs="Arial"/>
          <w:b/>
          <w:color w:val="000000"/>
        </w:rPr>
      </w:pPr>
      <w:r w:rsidRPr="00662F76">
        <w:rPr>
          <w:rFonts w:cs="Arial"/>
          <w:b/>
          <w:color w:val="000000"/>
        </w:rPr>
        <w:t>Disclaimer</w:t>
      </w:r>
    </w:p>
    <w:p w14:paraId="01C99758" w14:textId="77777777" w:rsidR="00662F76" w:rsidRPr="00662F76" w:rsidRDefault="00662F76" w:rsidP="00662F76">
      <w:pPr>
        <w:autoSpaceDE w:val="0"/>
        <w:autoSpaceDN w:val="0"/>
        <w:adjustRightInd w:val="0"/>
        <w:spacing w:after="0" w:line="240" w:lineRule="auto"/>
        <w:jc w:val="both"/>
        <w:rPr>
          <w:rFonts w:cs="Arial"/>
          <w:color w:val="000000"/>
        </w:rPr>
      </w:pPr>
      <w:r w:rsidRPr="00662F76">
        <w:rPr>
          <w:rFonts w:cs="Arial"/>
          <w:color w:val="000000"/>
        </w:rPr>
        <w:t>The results in this paper are not official statistics. They have been created for research purposes from the Integrated Data Infrastructure (IDI), managed by Statistics New Zealand.</w:t>
      </w:r>
    </w:p>
    <w:p w14:paraId="2DBFCE55" w14:textId="77777777" w:rsidR="00662F76" w:rsidRPr="00662F76" w:rsidRDefault="00662F76" w:rsidP="00662F76">
      <w:pPr>
        <w:autoSpaceDE w:val="0"/>
        <w:autoSpaceDN w:val="0"/>
        <w:adjustRightInd w:val="0"/>
        <w:spacing w:before="240" w:after="0" w:line="240" w:lineRule="auto"/>
        <w:jc w:val="both"/>
        <w:rPr>
          <w:rFonts w:cs="Arial"/>
          <w:color w:val="000000"/>
        </w:rPr>
      </w:pPr>
      <w:r w:rsidRPr="00662F76">
        <w:rPr>
          <w:rFonts w:cs="Arial"/>
          <w:color w:val="000000"/>
        </w:rPr>
        <w:t>The results are based in part on tax data supplied by Inland Revenue to Statistics NZ under the Tax Administration Act 1994. This tax data must be used only for statistical purposes, and no individual information may be published or disclosed in any other form, or provided to Inland Revenue for administrative or regulatory purposes.</w:t>
      </w:r>
    </w:p>
    <w:p w14:paraId="325B51AC" w14:textId="77777777" w:rsidR="00662F76" w:rsidRPr="00662F76" w:rsidRDefault="00662F76" w:rsidP="00662F76">
      <w:pPr>
        <w:autoSpaceDE w:val="0"/>
        <w:autoSpaceDN w:val="0"/>
        <w:adjustRightInd w:val="0"/>
        <w:spacing w:before="240" w:after="0" w:line="240" w:lineRule="auto"/>
        <w:jc w:val="both"/>
        <w:rPr>
          <w:rFonts w:cs="Arial"/>
          <w:color w:val="000000"/>
        </w:rPr>
      </w:pPr>
      <w:r w:rsidRPr="00662F76">
        <w:rPr>
          <w:rFonts w:cs="Arial"/>
          <w:color w:val="000000"/>
        </w:rPr>
        <w:t>Any person who has had access to the unit record data has certified that they have been shown, have read, and have understood section 81 of the Tax Administration Act 1994, which relates to secrecy. Any discussion of data limitations or weaknesses is in the context of using the IR for statistical purposes, and is not related to the data’s ability to support Inland Revenue’s core operational requirements.</w:t>
      </w:r>
    </w:p>
    <w:p w14:paraId="74590634" w14:textId="77777777" w:rsidR="00396829" w:rsidRDefault="00396829" w:rsidP="00907D35">
      <w:pPr>
        <w:shd w:val="clear" w:color="auto" w:fill="FFFFFF"/>
        <w:spacing w:before="240" w:after="0" w:line="240" w:lineRule="auto"/>
        <w:outlineLvl w:val="1"/>
        <w:rPr>
          <w:rFonts w:ascii="Calibri" w:eastAsia="Times New Roman" w:hAnsi="Calibri" w:cs="Calibri"/>
          <w:color w:val="008080"/>
          <w:sz w:val="30"/>
          <w:szCs w:val="30"/>
          <w:lang w:eastAsia="en-NZ"/>
        </w:rPr>
      </w:pPr>
      <w:r w:rsidRPr="00396829">
        <w:rPr>
          <w:rFonts w:ascii="Calibri" w:eastAsia="Times New Roman" w:hAnsi="Calibri" w:cs="Calibri"/>
          <w:color w:val="008080"/>
          <w:sz w:val="30"/>
          <w:szCs w:val="30"/>
          <w:lang w:eastAsia="en-NZ"/>
        </w:rPr>
        <w:t>Abstract</w:t>
      </w:r>
    </w:p>
    <w:p w14:paraId="164FE71D" w14:textId="77777777" w:rsidR="00EA0E42" w:rsidRPr="00396829" w:rsidRDefault="00DD358B" w:rsidP="00B1566F">
      <w:pPr>
        <w:shd w:val="clear" w:color="auto" w:fill="FFFFFF"/>
        <w:spacing w:after="0" w:line="240" w:lineRule="auto"/>
        <w:jc w:val="both"/>
        <w:rPr>
          <w:rFonts w:ascii="Calibri" w:eastAsia="Times New Roman" w:hAnsi="Calibri" w:cs="Calibri"/>
          <w:color w:val="333333"/>
          <w:sz w:val="24"/>
          <w:szCs w:val="24"/>
          <w:lang w:eastAsia="en-NZ"/>
        </w:rPr>
      </w:pPr>
      <w:r w:rsidRPr="00962BEB">
        <w:rPr>
          <w:rFonts w:ascii="Calibri" w:eastAsia="Times New Roman" w:hAnsi="Calibri" w:cs="Calibri"/>
          <w:color w:val="000000"/>
          <w:lang w:eastAsia="en-NZ"/>
        </w:rPr>
        <w:t xml:space="preserve">The aim of the </w:t>
      </w:r>
      <w:r w:rsidR="00EA0E42" w:rsidRPr="00962BEB">
        <w:rPr>
          <w:rFonts w:ascii="Calibri" w:eastAsia="Times New Roman" w:hAnsi="Calibri" w:cs="Calibri"/>
          <w:color w:val="000000"/>
          <w:lang w:eastAsia="en-NZ"/>
        </w:rPr>
        <w:t xml:space="preserve">experiment </w:t>
      </w:r>
      <w:r w:rsidRPr="00962BEB">
        <w:rPr>
          <w:rFonts w:ascii="Calibri" w:eastAsia="Times New Roman" w:hAnsi="Calibri" w:cs="Calibri"/>
          <w:color w:val="000000"/>
          <w:lang w:eastAsia="en-NZ"/>
        </w:rPr>
        <w:t>was to investigate the use of data integration in the validation of income statistics</w:t>
      </w:r>
      <w:r w:rsidR="00EA0E42" w:rsidRPr="00962BEB">
        <w:rPr>
          <w:rFonts w:ascii="Calibri" w:eastAsia="Times New Roman" w:hAnsi="Calibri" w:cs="Calibri"/>
          <w:color w:val="000000"/>
          <w:lang w:eastAsia="en-NZ"/>
        </w:rPr>
        <w:t xml:space="preserve"> produced by Statistics New Zealand. Data from Statistics New Zealand household surveys, the New Zealand Income Survey (NZIS) and the Household Economic Survey (HES) were individually linked with tax data provided by New Zealand’s tax agency, Inland Revenue (IR) Department. The IR data used in the linking is available in Statistics New Zealand’s Integrated Data Infrastructure (IDI). </w:t>
      </w:r>
      <w:r w:rsidR="00962BEB" w:rsidRPr="00962BEB">
        <w:rPr>
          <w:rFonts w:ascii="Calibri" w:eastAsia="Times New Roman" w:hAnsi="Calibri" w:cs="Calibri"/>
          <w:color w:val="000000"/>
          <w:lang w:eastAsia="en-NZ"/>
        </w:rPr>
        <w:t xml:space="preserve">The experiment focused on </w:t>
      </w:r>
      <w:r w:rsidR="00962BEB" w:rsidRPr="00962BEB">
        <w:rPr>
          <w:rFonts w:ascii="Calibri" w:eastAsia="Times New Roman" w:hAnsi="Calibri" w:cs="Calibri"/>
          <w:color w:val="333333"/>
          <w:lang w:eastAsia="en-NZ"/>
        </w:rPr>
        <w:t xml:space="preserve">comparing income sourced from wages, salaries and self-employment. The expected outputs </w:t>
      </w:r>
      <w:r w:rsidR="00962BEB">
        <w:rPr>
          <w:rFonts w:ascii="Calibri" w:eastAsia="Times New Roman" w:hAnsi="Calibri" w:cs="Calibri"/>
          <w:color w:val="333333"/>
          <w:lang w:eastAsia="en-NZ"/>
        </w:rPr>
        <w:t xml:space="preserve">of the experiment </w:t>
      </w:r>
      <w:r w:rsidR="00962BEB" w:rsidRPr="00962BEB">
        <w:rPr>
          <w:rFonts w:ascii="Calibri" w:eastAsia="Times New Roman" w:hAnsi="Calibri" w:cs="Calibri"/>
          <w:color w:val="333333"/>
          <w:lang w:eastAsia="en-NZ"/>
        </w:rPr>
        <w:t xml:space="preserve">were to (1) identify issues </w:t>
      </w:r>
      <w:r w:rsidR="00962BEB" w:rsidRPr="00962BEB">
        <w:rPr>
          <w:rFonts w:ascii="Calibri" w:eastAsia="Times New Roman" w:hAnsi="Calibri" w:cs="Calibri"/>
          <w:color w:val="333333"/>
          <w:lang w:val="en-AU" w:eastAsia="en-NZ"/>
        </w:rPr>
        <w:t>related to systematically using data from other sources in the validation of official statistics, and (2) recommend potential approaches and modelling techniques.</w:t>
      </w:r>
    </w:p>
    <w:p w14:paraId="1261FE82" w14:textId="77777777" w:rsidR="00962BEB" w:rsidRDefault="00962BEB" w:rsidP="00B1566F">
      <w:pPr>
        <w:shd w:val="clear" w:color="auto" w:fill="FFFFFF"/>
        <w:spacing w:after="0" w:line="240" w:lineRule="auto"/>
        <w:jc w:val="both"/>
        <w:outlineLvl w:val="1"/>
        <w:rPr>
          <w:rFonts w:ascii="Calibri" w:eastAsia="Times New Roman" w:hAnsi="Calibri" w:cs="Calibri"/>
          <w:color w:val="008080"/>
          <w:sz w:val="30"/>
          <w:szCs w:val="30"/>
          <w:lang w:eastAsia="en-NZ"/>
        </w:rPr>
      </w:pPr>
    </w:p>
    <w:p w14:paraId="546D72D4" w14:textId="77777777" w:rsidR="00DD358B" w:rsidRDefault="00396829" w:rsidP="00B1566F">
      <w:pPr>
        <w:shd w:val="clear" w:color="auto" w:fill="FFFFFF"/>
        <w:spacing w:after="0" w:line="240" w:lineRule="auto"/>
        <w:jc w:val="both"/>
        <w:outlineLvl w:val="1"/>
        <w:rPr>
          <w:rFonts w:ascii="Calibri" w:eastAsia="Times New Roman" w:hAnsi="Calibri" w:cs="Calibri"/>
          <w:color w:val="008080"/>
          <w:sz w:val="30"/>
          <w:szCs w:val="30"/>
          <w:lang w:eastAsia="en-NZ"/>
        </w:rPr>
      </w:pPr>
      <w:r w:rsidRPr="00396829">
        <w:rPr>
          <w:rFonts w:ascii="Calibri" w:eastAsia="Times New Roman" w:hAnsi="Calibri" w:cs="Calibri"/>
          <w:color w:val="008080"/>
          <w:sz w:val="30"/>
          <w:szCs w:val="30"/>
          <w:lang w:eastAsia="en-NZ"/>
        </w:rPr>
        <w:t>Description</w:t>
      </w:r>
    </w:p>
    <w:p w14:paraId="05DB124D" w14:textId="77777777" w:rsidR="00FC58AF" w:rsidRDefault="00FC58AF" w:rsidP="00B1566F">
      <w:pPr>
        <w:shd w:val="clear" w:color="auto" w:fill="FFFFFF"/>
        <w:spacing w:after="0" w:line="240" w:lineRule="auto"/>
        <w:jc w:val="both"/>
        <w:outlineLvl w:val="1"/>
        <w:rPr>
          <w:rFonts w:cstheme="minorHAnsi"/>
          <w:color w:val="333333"/>
          <w:shd w:val="clear" w:color="auto" w:fill="FFFFFF"/>
        </w:rPr>
      </w:pPr>
      <w:r w:rsidRPr="004F4AA4">
        <w:rPr>
          <w:rFonts w:eastAsia="Times New Roman" w:cstheme="minorHAnsi"/>
          <w:lang w:eastAsia="en-NZ"/>
        </w:rPr>
        <w:t>The experiment carried out was to c</w:t>
      </w:r>
      <w:r w:rsidR="00DD358B" w:rsidRPr="004F4AA4">
        <w:rPr>
          <w:rFonts w:cstheme="minorHAnsi"/>
          <w:color w:val="333333"/>
          <w:shd w:val="clear" w:color="auto" w:fill="FFFFFF"/>
        </w:rPr>
        <w:t xml:space="preserve">ompare the quality of </w:t>
      </w:r>
      <w:r w:rsidRPr="004F4AA4">
        <w:rPr>
          <w:rFonts w:eastAsia="Times New Roman" w:cstheme="minorHAnsi"/>
          <w:color w:val="333333"/>
          <w:lang w:eastAsia="en-NZ"/>
        </w:rPr>
        <w:t>income sourced from wages, salaries and self-employment</w:t>
      </w:r>
      <w:r w:rsidR="004F4AA4">
        <w:rPr>
          <w:rFonts w:eastAsia="Times New Roman" w:cstheme="minorHAnsi"/>
          <w:color w:val="333333"/>
          <w:lang w:eastAsia="en-NZ"/>
        </w:rPr>
        <w:t xml:space="preserve"> derived from the NZIS and HES with income data available from the IR data in the IDI</w:t>
      </w:r>
      <w:r w:rsidR="00DD358B" w:rsidRPr="004F4AA4">
        <w:rPr>
          <w:rFonts w:cstheme="minorHAnsi"/>
          <w:color w:val="333333"/>
          <w:shd w:val="clear" w:color="auto" w:fill="FFFFFF"/>
        </w:rPr>
        <w:t xml:space="preserve">. The IDI brings together linked datasets from different data suppliers including </w:t>
      </w:r>
      <w:r w:rsidR="004F4AA4">
        <w:rPr>
          <w:rFonts w:cstheme="minorHAnsi"/>
          <w:color w:val="333333"/>
          <w:shd w:val="clear" w:color="auto" w:fill="FFFFFF"/>
        </w:rPr>
        <w:t>Statistics NZ. Data from the Household Labour Force Survey (HLFS) and HES are individually linked</w:t>
      </w:r>
      <w:r w:rsidR="00DD358B" w:rsidRPr="004F4AA4">
        <w:rPr>
          <w:rFonts w:cstheme="minorHAnsi"/>
          <w:color w:val="333333"/>
          <w:shd w:val="clear" w:color="auto" w:fill="FFFFFF"/>
        </w:rPr>
        <w:t xml:space="preserve"> </w:t>
      </w:r>
      <w:r w:rsidR="004F4AA4">
        <w:rPr>
          <w:rFonts w:cstheme="minorHAnsi"/>
          <w:color w:val="333333"/>
          <w:shd w:val="clear" w:color="auto" w:fill="FFFFFF"/>
        </w:rPr>
        <w:t>to the IDI.</w:t>
      </w:r>
      <w:r w:rsidR="00DD358B" w:rsidRPr="004F4AA4">
        <w:rPr>
          <w:rFonts w:cstheme="minorHAnsi"/>
          <w:color w:val="333333"/>
          <w:shd w:val="clear" w:color="auto" w:fill="FFFFFF"/>
        </w:rPr>
        <w:t xml:space="preserve"> The NZIS </w:t>
      </w:r>
      <w:r w:rsidR="004F4AA4">
        <w:rPr>
          <w:rFonts w:cstheme="minorHAnsi"/>
          <w:color w:val="333333"/>
          <w:shd w:val="clear" w:color="auto" w:fill="FFFFFF"/>
        </w:rPr>
        <w:t>was a supplement to the June quarter of the</w:t>
      </w:r>
      <w:r w:rsidR="00DD358B" w:rsidRPr="004F4AA4">
        <w:rPr>
          <w:rFonts w:cstheme="minorHAnsi"/>
          <w:color w:val="333333"/>
          <w:shd w:val="clear" w:color="auto" w:fill="FFFFFF"/>
        </w:rPr>
        <w:t xml:space="preserve"> HLFS</w:t>
      </w:r>
      <w:r w:rsidR="004F4AA4">
        <w:rPr>
          <w:rFonts w:cstheme="minorHAnsi"/>
          <w:color w:val="333333"/>
          <w:shd w:val="clear" w:color="auto" w:fill="FFFFFF"/>
        </w:rPr>
        <w:t xml:space="preserve"> until 2016</w:t>
      </w:r>
      <w:r w:rsidR="00DD358B" w:rsidRPr="004F4AA4">
        <w:rPr>
          <w:rFonts w:cstheme="minorHAnsi"/>
          <w:color w:val="333333"/>
          <w:shd w:val="clear" w:color="auto" w:fill="FFFFFF"/>
        </w:rPr>
        <w:t xml:space="preserve">. </w:t>
      </w:r>
    </w:p>
    <w:p w14:paraId="4059BAF0" w14:textId="77777777" w:rsidR="004F4AA4" w:rsidRDefault="004F4AA4" w:rsidP="00B1566F">
      <w:pPr>
        <w:shd w:val="clear" w:color="auto" w:fill="FFFFFF"/>
        <w:spacing w:after="0" w:line="240" w:lineRule="auto"/>
        <w:jc w:val="both"/>
        <w:outlineLvl w:val="1"/>
        <w:rPr>
          <w:rFonts w:cstheme="minorHAnsi"/>
        </w:rPr>
      </w:pPr>
    </w:p>
    <w:p w14:paraId="4D654E0C" w14:textId="77777777" w:rsidR="004F4AA4" w:rsidRPr="004F4AA4" w:rsidRDefault="000A2A46" w:rsidP="00B1566F">
      <w:pPr>
        <w:shd w:val="clear" w:color="auto" w:fill="FFFFFF"/>
        <w:spacing w:after="0" w:line="240" w:lineRule="auto"/>
        <w:jc w:val="both"/>
        <w:outlineLvl w:val="1"/>
        <w:rPr>
          <w:rFonts w:cstheme="minorHAnsi"/>
          <w:color w:val="333333"/>
          <w:shd w:val="clear" w:color="auto" w:fill="FFFFFF"/>
        </w:rPr>
      </w:pPr>
      <w:r w:rsidRPr="005B25D1">
        <w:rPr>
          <w:rFonts w:cstheme="minorHAnsi"/>
        </w:rPr>
        <w:t>Statistics NZ</w:t>
      </w:r>
      <w:r>
        <w:rPr>
          <w:rFonts w:cstheme="minorHAnsi"/>
        </w:rPr>
        <w:t>’s</w:t>
      </w:r>
      <w:r w:rsidR="004F4AA4" w:rsidRPr="005B25D1">
        <w:rPr>
          <w:rFonts w:cstheme="minorHAnsi"/>
        </w:rPr>
        <w:t xml:space="preserve"> </w:t>
      </w:r>
      <w:hyperlink r:id="rId7" w:history="1">
        <w:r w:rsidR="004F4AA4" w:rsidRPr="005B25D1">
          <w:rPr>
            <w:rStyle w:val="Hyperlink"/>
            <w:rFonts w:cstheme="minorHAnsi"/>
          </w:rPr>
          <w:t>quality assessment framework</w:t>
        </w:r>
      </w:hyperlink>
      <w:r w:rsidR="004F4AA4" w:rsidRPr="005B25D1">
        <w:rPr>
          <w:rFonts w:cstheme="minorHAnsi"/>
        </w:rPr>
        <w:t xml:space="preserve"> </w:t>
      </w:r>
      <w:r>
        <w:rPr>
          <w:rFonts w:cstheme="minorHAnsi"/>
        </w:rPr>
        <w:t>(Statistics NZ</w:t>
      </w:r>
      <w:r w:rsidR="004F4AA4" w:rsidRPr="005B25D1">
        <w:rPr>
          <w:rFonts w:cstheme="minorHAnsi"/>
        </w:rPr>
        <w:t xml:space="preserve"> 2016</w:t>
      </w:r>
      <w:r>
        <w:rPr>
          <w:rFonts w:cstheme="minorHAnsi"/>
        </w:rPr>
        <w:t xml:space="preserve">) </w:t>
      </w:r>
      <w:r w:rsidR="004F4AA4">
        <w:rPr>
          <w:rFonts w:cstheme="minorHAnsi"/>
        </w:rPr>
        <w:t>was used</w:t>
      </w:r>
      <w:r>
        <w:rPr>
          <w:rFonts w:cstheme="minorHAnsi"/>
        </w:rPr>
        <w:t xml:space="preserve"> to understand the</w:t>
      </w:r>
      <w:r w:rsidR="004F4AA4" w:rsidRPr="005B25D1">
        <w:rPr>
          <w:rFonts w:cstheme="minorHAnsi"/>
        </w:rPr>
        <w:t xml:space="preserve"> issues</w:t>
      </w:r>
      <w:r>
        <w:rPr>
          <w:rFonts w:cstheme="minorHAnsi"/>
        </w:rPr>
        <w:t xml:space="preserve"> related to the use of administrative data in the validation of income statistics</w:t>
      </w:r>
      <w:r w:rsidR="004F4AA4" w:rsidRPr="005B25D1">
        <w:rPr>
          <w:rFonts w:cstheme="minorHAnsi"/>
        </w:rPr>
        <w:t xml:space="preserve">. The quality assessment framework is based on Li-Chun Zhang’s </w:t>
      </w:r>
      <w:hyperlink r:id="rId8" w:history="1">
        <w:r w:rsidR="004F4AA4" w:rsidRPr="000A2A46">
          <w:rPr>
            <w:rStyle w:val="Hyperlink"/>
            <w:rFonts w:cstheme="minorHAnsi"/>
          </w:rPr>
          <w:t>two-phase life-cycle model for integrated statistical microdata</w:t>
        </w:r>
      </w:hyperlink>
      <w:r>
        <w:rPr>
          <w:rFonts w:cstheme="minorHAnsi"/>
        </w:rPr>
        <w:t xml:space="preserve"> (Zhang 2012). </w:t>
      </w:r>
    </w:p>
    <w:p w14:paraId="426FF96D" w14:textId="77777777" w:rsidR="00396829" w:rsidRPr="00396829" w:rsidRDefault="00396829" w:rsidP="00B1566F">
      <w:pPr>
        <w:shd w:val="clear" w:color="auto" w:fill="FFFFFF"/>
        <w:spacing w:before="450" w:after="0" w:line="240" w:lineRule="auto"/>
        <w:jc w:val="both"/>
        <w:outlineLvl w:val="1"/>
        <w:rPr>
          <w:rFonts w:ascii="Calibri" w:eastAsia="Times New Roman" w:hAnsi="Calibri" w:cs="Calibri"/>
          <w:color w:val="339999"/>
          <w:sz w:val="30"/>
          <w:szCs w:val="30"/>
          <w:lang w:eastAsia="en-NZ"/>
        </w:rPr>
      </w:pPr>
      <w:r w:rsidRPr="00396829">
        <w:rPr>
          <w:rFonts w:ascii="Calibri" w:eastAsia="Times New Roman" w:hAnsi="Calibri" w:cs="Calibri"/>
          <w:color w:val="008080"/>
          <w:sz w:val="30"/>
          <w:szCs w:val="30"/>
          <w:lang w:eastAsia="en-NZ"/>
        </w:rPr>
        <w:t>Data characteristics</w:t>
      </w:r>
    </w:p>
    <w:p w14:paraId="5CC0A6FC" w14:textId="77777777" w:rsidR="00907D35" w:rsidRPr="00907D35" w:rsidRDefault="00907D35" w:rsidP="00B1566F">
      <w:pPr>
        <w:pStyle w:val="Default"/>
        <w:spacing w:after="240"/>
        <w:jc w:val="both"/>
        <w:rPr>
          <w:rFonts w:asciiTheme="minorHAnsi" w:hAnsiTheme="minorHAnsi" w:cstheme="minorHAnsi"/>
          <w:sz w:val="22"/>
          <w:szCs w:val="22"/>
        </w:rPr>
      </w:pPr>
      <w:r w:rsidRPr="00907D35">
        <w:rPr>
          <w:rFonts w:asciiTheme="minorHAnsi" w:hAnsiTheme="minorHAnsi" w:cstheme="minorHAnsi"/>
          <w:sz w:val="22"/>
          <w:szCs w:val="22"/>
        </w:rPr>
        <w:t>The NZIS data investigated in this paper covers data collected (from 2013 to 2015) when NZIS was a supplement to the June quarter (1 April to 30 June) of the Household Labour Force Survey (HLFS). From 2016, most of the income data collected from the NZIS will be collected as an income module within the HLFS.</w:t>
      </w:r>
    </w:p>
    <w:p w14:paraId="65D2E9F6" w14:textId="77777777" w:rsidR="00907D35" w:rsidRPr="00907D35" w:rsidRDefault="00907D35" w:rsidP="00B1566F">
      <w:pPr>
        <w:pStyle w:val="Default"/>
        <w:spacing w:after="240"/>
        <w:jc w:val="both"/>
        <w:rPr>
          <w:rFonts w:asciiTheme="minorHAnsi" w:hAnsiTheme="minorHAnsi" w:cstheme="minorHAnsi"/>
          <w:sz w:val="22"/>
          <w:szCs w:val="22"/>
        </w:rPr>
      </w:pPr>
      <w:r w:rsidRPr="00907D35">
        <w:rPr>
          <w:rFonts w:asciiTheme="minorHAnsi" w:hAnsiTheme="minorHAnsi" w:cstheme="minorHAnsi"/>
          <w:sz w:val="22"/>
          <w:szCs w:val="22"/>
        </w:rPr>
        <w:t xml:space="preserve">The </w:t>
      </w:r>
      <w:hyperlink r:id="rId9" w:history="1">
        <w:r w:rsidRPr="00907D35">
          <w:rPr>
            <w:rStyle w:val="Hyperlink"/>
            <w:rFonts w:asciiTheme="minorHAnsi" w:hAnsiTheme="minorHAnsi" w:cstheme="minorHAnsi"/>
            <w:sz w:val="22"/>
            <w:szCs w:val="22"/>
          </w:rPr>
          <w:t>HLFS</w:t>
        </w:r>
      </w:hyperlink>
      <w:r w:rsidRPr="00907D35">
        <w:rPr>
          <w:rFonts w:asciiTheme="minorHAnsi" w:hAnsiTheme="minorHAnsi" w:cstheme="minorHAnsi"/>
          <w:sz w:val="22"/>
          <w:szCs w:val="22"/>
        </w:rPr>
        <w:t xml:space="preserve"> measures quarterly average levels of employment, unemployment, non-participation in the labour force. The HLFS collects responses from around 15,000 households every quarter, amounting to responses from approximately 30,000 individuals aged 15 and over. The HLFS interviews the same respondents over eight consecutive quarters and then replaces them (on a rotating basis) by a new set of respondents. Households are selected using a multistage stratified, clustered design, and all adults in selected households are interviewed. </w:t>
      </w:r>
    </w:p>
    <w:p w14:paraId="67666917" w14:textId="77777777" w:rsidR="00907D35" w:rsidRPr="00907D35" w:rsidRDefault="002E2786" w:rsidP="00B1566F">
      <w:pPr>
        <w:pStyle w:val="Default"/>
        <w:spacing w:after="240"/>
        <w:jc w:val="both"/>
        <w:rPr>
          <w:rFonts w:asciiTheme="minorHAnsi" w:hAnsiTheme="minorHAnsi" w:cstheme="minorHAnsi"/>
          <w:sz w:val="22"/>
          <w:szCs w:val="22"/>
        </w:rPr>
      </w:pPr>
      <w:hyperlink r:id="rId10" w:history="1">
        <w:r w:rsidR="00907D35" w:rsidRPr="00907D35">
          <w:rPr>
            <w:rStyle w:val="Hyperlink"/>
            <w:rFonts w:asciiTheme="minorHAnsi" w:hAnsiTheme="minorHAnsi" w:cstheme="minorHAnsi"/>
            <w:sz w:val="22"/>
            <w:szCs w:val="22"/>
          </w:rPr>
          <w:t>HES</w:t>
        </w:r>
      </w:hyperlink>
      <w:r w:rsidR="00907D35" w:rsidRPr="00907D35">
        <w:rPr>
          <w:rFonts w:asciiTheme="minorHAnsi" w:hAnsiTheme="minorHAnsi" w:cstheme="minorHAnsi"/>
          <w:sz w:val="22"/>
          <w:szCs w:val="22"/>
        </w:rPr>
        <w:t xml:space="preserve"> collects information on household expenditure and (before-tax) income, and a wide range of demographic information on individuals and households. HES is run every year between 1 July and 30 June the following year. HES collects responses from around 5000 households. Households are selected using a multistage stratified, clustered design, and all adults in selected households are interviewed. </w:t>
      </w:r>
    </w:p>
    <w:p w14:paraId="5EDA98AE" w14:textId="77777777" w:rsidR="00907D35" w:rsidRPr="00907D35" w:rsidRDefault="00907D35" w:rsidP="00B1566F">
      <w:pPr>
        <w:spacing w:line="240" w:lineRule="auto"/>
        <w:jc w:val="both"/>
        <w:rPr>
          <w:rFonts w:cstheme="minorHAnsi"/>
        </w:rPr>
      </w:pPr>
      <w:r w:rsidRPr="00907D35">
        <w:rPr>
          <w:rFonts w:cstheme="minorHAnsi"/>
        </w:rPr>
        <w:lastRenderedPageBreak/>
        <w:t>Information on personal income is available as administrative data from the New Zealand tax agency, Inland Revenue. The data we have access to in the IDI includes tax returns for the self-employed and records from businesses that deduct tax directly from employees’ regular pay (Pay As You Earn or PAYE tax), withholding payments (usually relating to contractor’s pay), and registers of the main government payments, such as government pensions and unemployment benefits. Investment income and superannuation or pension funds other than the main government pension are not included.</w:t>
      </w:r>
    </w:p>
    <w:p w14:paraId="032038AF" w14:textId="77777777" w:rsidR="00907D35" w:rsidRPr="00907D35" w:rsidRDefault="00907D35" w:rsidP="00B1566F">
      <w:pPr>
        <w:spacing w:line="240" w:lineRule="auto"/>
        <w:jc w:val="both"/>
        <w:rPr>
          <w:rFonts w:cstheme="minorHAnsi"/>
          <w:color w:val="333333"/>
        </w:rPr>
      </w:pPr>
      <w:r w:rsidRPr="00907D35">
        <w:rPr>
          <w:rFonts w:cstheme="minorHAnsi"/>
        </w:rPr>
        <w:t xml:space="preserve">The IDI brings together linked datasets various government agencies (including our own). A key component of the IDI, called the ‘spine’, is a dataset to which all of the other datasets link. The target population for the spine is anybody who has ever resided in New Zealand. At present, the </w:t>
      </w:r>
      <w:hyperlink r:id="rId11" w:history="1">
        <w:r w:rsidRPr="00907D35">
          <w:rPr>
            <w:rStyle w:val="Hyperlink"/>
            <w:rFonts w:cstheme="minorHAnsi"/>
          </w:rPr>
          <w:t>IDI spine</w:t>
        </w:r>
      </w:hyperlink>
      <w:r w:rsidRPr="00907D35">
        <w:rPr>
          <w:rFonts w:cstheme="minorHAnsi"/>
        </w:rPr>
        <w:t xml:space="preserve"> is a single list of individuals created by a union of tax, birth, and long-term visa records, to which all the other datasets, such as income data from administrative sources, can be linked. Statistics NZ has linked HLFS and HES to the IDI spine. The linked datasets provide the opportunity to understand the differences on personal income collected from the tax data, the HLFS and HES. The analysis will focus on income obtained from wages, salaries and self-employment.</w:t>
      </w:r>
      <w:r w:rsidRPr="00907D35">
        <w:rPr>
          <w:rFonts w:cstheme="minorHAnsi"/>
          <w:color w:val="333333"/>
        </w:rPr>
        <w:t xml:space="preserve"> </w:t>
      </w:r>
    </w:p>
    <w:p w14:paraId="062B5384" w14:textId="77777777" w:rsidR="00396829" w:rsidRDefault="00396829" w:rsidP="00B1566F">
      <w:pPr>
        <w:shd w:val="clear" w:color="auto" w:fill="FFFFFF"/>
        <w:spacing w:before="450" w:after="0" w:line="240" w:lineRule="auto"/>
        <w:jc w:val="both"/>
        <w:outlineLvl w:val="1"/>
        <w:rPr>
          <w:rFonts w:ascii="Calibri" w:eastAsia="Times New Roman" w:hAnsi="Calibri" w:cs="Calibri"/>
          <w:color w:val="008080"/>
          <w:sz w:val="30"/>
          <w:szCs w:val="30"/>
          <w:lang w:eastAsia="en-NZ"/>
        </w:rPr>
      </w:pPr>
      <w:r w:rsidRPr="00396829">
        <w:rPr>
          <w:rFonts w:ascii="Calibri" w:eastAsia="Times New Roman" w:hAnsi="Calibri" w:cs="Calibri"/>
          <w:color w:val="008080"/>
          <w:sz w:val="30"/>
          <w:szCs w:val="30"/>
          <w:lang w:eastAsia="en-NZ"/>
        </w:rPr>
        <w:t>Activities</w:t>
      </w:r>
    </w:p>
    <w:p w14:paraId="472F9C70" w14:textId="77777777" w:rsidR="00B1566F" w:rsidRDefault="00B1566F" w:rsidP="00B1566F">
      <w:pPr>
        <w:shd w:val="clear" w:color="auto" w:fill="FFFFFF"/>
        <w:spacing w:after="0" w:line="240" w:lineRule="auto"/>
        <w:jc w:val="both"/>
        <w:outlineLvl w:val="1"/>
        <w:rPr>
          <w:rFonts w:eastAsia="Calibri" w:cstheme="minorHAnsi"/>
          <w:lang w:val="en-US"/>
        </w:rPr>
      </w:pPr>
      <w:r w:rsidRPr="005B25D1">
        <w:rPr>
          <w:rFonts w:cstheme="minorHAnsi"/>
        </w:rPr>
        <w:t>Statistics NZ</w:t>
      </w:r>
      <w:r>
        <w:rPr>
          <w:rFonts w:cstheme="minorHAnsi"/>
        </w:rPr>
        <w:t>’s</w:t>
      </w:r>
      <w:r w:rsidRPr="005B25D1">
        <w:rPr>
          <w:rFonts w:cstheme="minorHAnsi"/>
        </w:rPr>
        <w:t xml:space="preserve"> </w:t>
      </w:r>
      <w:hyperlink r:id="rId12" w:history="1">
        <w:r w:rsidRPr="005B25D1">
          <w:rPr>
            <w:rStyle w:val="Hyperlink"/>
            <w:rFonts w:cstheme="minorHAnsi"/>
          </w:rPr>
          <w:t>quality assessment framework</w:t>
        </w:r>
      </w:hyperlink>
      <w:r>
        <w:rPr>
          <w:rStyle w:val="Hyperlink"/>
          <w:rFonts w:cstheme="minorHAnsi"/>
          <w:color w:val="auto"/>
          <w:u w:val="none"/>
        </w:rPr>
        <w:t xml:space="preserve"> provided guidance in carrying out the experiment. This framework enables u</w:t>
      </w:r>
      <w:r w:rsidRPr="00B1566F">
        <w:rPr>
          <w:rFonts w:eastAsia="Calibri" w:cstheme="minorHAnsi"/>
          <w:lang w:val="en-US"/>
        </w:rPr>
        <w:t xml:space="preserve">understanding </w:t>
      </w:r>
      <w:r>
        <w:rPr>
          <w:rFonts w:eastAsia="Calibri" w:cstheme="minorHAnsi"/>
          <w:lang w:val="en-US"/>
        </w:rPr>
        <w:t xml:space="preserve">of </w:t>
      </w:r>
      <w:r w:rsidRPr="00B1566F">
        <w:rPr>
          <w:rFonts w:eastAsia="Calibri" w:cstheme="minorHAnsi"/>
          <w:lang w:val="en-US"/>
        </w:rPr>
        <w:t>the error sources from the</w:t>
      </w:r>
      <w:r>
        <w:rPr>
          <w:rFonts w:eastAsia="Calibri" w:cstheme="minorHAnsi"/>
          <w:lang w:val="en-US"/>
        </w:rPr>
        <w:t xml:space="preserve"> individual</w:t>
      </w:r>
      <w:r w:rsidRPr="00B1566F">
        <w:rPr>
          <w:rFonts w:eastAsia="Calibri" w:cstheme="minorHAnsi"/>
          <w:lang w:val="en-US"/>
        </w:rPr>
        <w:t xml:space="preserve"> data sources including those arising from the </w:t>
      </w:r>
      <w:r w:rsidR="007B596F">
        <w:rPr>
          <w:rFonts w:eastAsia="Calibri" w:cstheme="minorHAnsi"/>
          <w:lang w:val="en-US"/>
        </w:rPr>
        <w:t>integrated</w:t>
      </w:r>
      <w:r w:rsidRPr="00B1566F">
        <w:rPr>
          <w:rFonts w:eastAsia="Calibri" w:cstheme="minorHAnsi"/>
          <w:lang w:val="en-US"/>
        </w:rPr>
        <w:t xml:space="preserve"> datasets</w:t>
      </w:r>
      <w:r>
        <w:rPr>
          <w:rFonts w:eastAsia="Calibri" w:cstheme="minorHAnsi"/>
          <w:lang w:val="en-US"/>
        </w:rPr>
        <w:t xml:space="preserve">. Doing so </w:t>
      </w:r>
      <w:r w:rsidRPr="00B1566F">
        <w:rPr>
          <w:rFonts w:eastAsia="Calibri" w:cstheme="minorHAnsi"/>
          <w:lang w:val="en-US"/>
        </w:rPr>
        <w:t>assist</w:t>
      </w:r>
      <w:r>
        <w:rPr>
          <w:rFonts w:eastAsia="Calibri" w:cstheme="minorHAnsi"/>
          <w:lang w:val="en-US"/>
        </w:rPr>
        <w:t>s</w:t>
      </w:r>
      <w:r w:rsidRPr="00B1566F">
        <w:rPr>
          <w:rFonts w:eastAsia="Calibri" w:cstheme="minorHAnsi"/>
          <w:lang w:val="en-US"/>
        </w:rPr>
        <w:t xml:space="preserve"> in determining the associated methodological and operational issues that may limit the use of administrative data in the validation of official statistics</w:t>
      </w:r>
      <w:r>
        <w:rPr>
          <w:rFonts w:eastAsia="Calibri" w:cstheme="minorHAnsi"/>
          <w:lang w:val="en-US"/>
        </w:rPr>
        <w:t>.</w:t>
      </w:r>
    </w:p>
    <w:p w14:paraId="089148FA" w14:textId="77777777" w:rsidR="00B1566F" w:rsidRDefault="00B1566F" w:rsidP="00B1566F">
      <w:pPr>
        <w:shd w:val="clear" w:color="auto" w:fill="FFFFFF"/>
        <w:spacing w:after="0" w:line="240" w:lineRule="auto"/>
        <w:jc w:val="both"/>
        <w:outlineLvl w:val="1"/>
        <w:rPr>
          <w:rFonts w:eastAsia="Calibri" w:cstheme="minorHAnsi"/>
          <w:lang w:val="en-US"/>
        </w:rPr>
      </w:pPr>
    </w:p>
    <w:p w14:paraId="48A95046" w14:textId="77777777" w:rsidR="00B1566F" w:rsidRPr="00B1566F" w:rsidRDefault="00B1566F" w:rsidP="007B596F">
      <w:pPr>
        <w:shd w:val="clear" w:color="auto" w:fill="FFFFFF"/>
        <w:spacing w:after="0" w:line="240" w:lineRule="auto"/>
        <w:jc w:val="both"/>
        <w:outlineLvl w:val="1"/>
        <w:rPr>
          <w:rFonts w:cs="Arial"/>
          <w:color w:val="000000"/>
        </w:rPr>
      </w:pPr>
      <w:r w:rsidRPr="00B1566F">
        <w:rPr>
          <w:rFonts w:eastAsia="Calibri" w:cstheme="minorHAnsi"/>
          <w:lang w:val="en-US"/>
        </w:rPr>
        <w:t xml:space="preserve">The </w:t>
      </w:r>
      <w:r w:rsidR="00A728E6">
        <w:rPr>
          <w:rFonts w:eastAsia="Calibri" w:cstheme="minorHAnsi"/>
          <w:lang w:val="en-US"/>
        </w:rPr>
        <w:t>1</w:t>
      </w:r>
      <w:r w:rsidR="00A728E6" w:rsidRPr="00A728E6">
        <w:rPr>
          <w:rFonts w:eastAsia="Calibri" w:cstheme="minorHAnsi"/>
          <w:vertAlign w:val="superscript"/>
          <w:lang w:val="en-US"/>
        </w:rPr>
        <w:t>st</w:t>
      </w:r>
      <w:r w:rsidR="00A728E6">
        <w:rPr>
          <w:rFonts w:eastAsia="Calibri" w:cstheme="minorHAnsi"/>
          <w:lang w:val="en-US"/>
        </w:rPr>
        <w:t xml:space="preserve"> </w:t>
      </w:r>
      <w:r w:rsidRPr="00B1566F">
        <w:rPr>
          <w:rFonts w:eastAsia="Calibri" w:cstheme="minorHAnsi"/>
          <w:lang w:val="en-US"/>
        </w:rPr>
        <w:t xml:space="preserve">step of the </w:t>
      </w:r>
      <w:r w:rsidRPr="00B1566F">
        <w:rPr>
          <w:rFonts w:cs="Arial"/>
          <w:color w:val="000000"/>
        </w:rPr>
        <w:t xml:space="preserve">quality assessment is to briefly answer the main questions in the </w:t>
      </w:r>
      <w:hyperlink r:id="rId13" w:history="1">
        <w:r w:rsidRPr="00B1566F">
          <w:rPr>
            <w:rStyle w:val="Hyperlink"/>
            <w:rFonts w:cs="Arial"/>
          </w:rPr>
          <w:t>metadata template</w:t>
        </w:r>
      </w:hyperlink>
      <w:r w:rsidRPr="00B1566F">
        <w:rPr>
          <w:rFonts w:cs="Arial"/>
          <w:color w:val="000000"/>
        </w:rPr>
        <w:t>. The</w:t>
      </w:r>
      <w:r w:rsidR="006504AB">
        <w:rPr>
          <w:rFonts w:cs="Arial"/>
          <w:color w:val="000000"/>
        </w:rPr>
        <w:t xml:space="preserve"> metadata template </w:t>
      </w:r>
      <w:r w:rsidR="006504AB">
        <w:rPr>
          <w:sz w:val="21"/>
          <w:szCs w:val="21"/>
        </w:rPr>
        <w:t xml:space="preserve">is a convenient way to record a standard set of information – to compare different </w:t>
      </w:r>
      <w:r w:rsidR="007B596F">
        <w:rPr>
          <w:sz w:val="21"/>
          <w:szCs w:val="21"/>
        </w:rPr>
        <w:t xml:space="preserve">input </w:t>
      </w:r>
      <w:r w:rsidR="006504AB">
        <w:rPr>
          <w:sz w:val="21"/>
          <w:szCs w:val="21"/>
        </w:rPr>
        <w:t xml:space="preserve">datasets. </w:t>
      </w:r>
      <w:r w:rsidRPr="00B1566F">
        <w:rPr>
          <w:rFonts w:cs="Arial"/>
          <w:color w:val="000000"/>
        </w:rPr>
        <w:t xml:space="preserve">The most important </w:t>
      </w:r>
      <w:r w:rsidR="006504AB">
        <w:rPr>
          <w:rFonts w:cs="Arial"/>
          <w:color w:val="000000"/>
        </w:rPr>
        <w:t>information about the different datasets are</w:t>
      </w:r>
      <w:r w:rsidRPr="00B1566F">
        <w:rPr>
          <w:rFonts w:cs="Arial"/>
          <w:color w:val="000000"/>
        </w:rPr>
        <w:t xml:space="preserve">: </w:t>
      </w:r>
    </w:p>
    <w:p w14:paraId="227962C6" w14:textId="77777777" w:rsidR="006504AB" w:rsidRDefault="00B1566F" w:rsidP="007B596F">
      <w:pPr>
        <w:pStyle w:val="ListParagraph"/>
        <w:numPr>
          <w:ilvl w:val="0"/>
          <w:numId w:val="6"/>
        </w:numPr>
        <w:autoSpaceDE w:val="0"/>
        <w:autoSpaceDN w:val="0"/>
        <w:adjustRightInd w:val="0"/>
        <w:spacing w:after="148" w:line="240" w:lineRule="auto"/>
        <w:jc w:val="both"/>
        <w:rPr>
          <w:rFonts w:cs="Arial"/>
          <w:color w:val="000000"/>
        </w:rPr>
      </w:pPr>
      <w:r w:rsidRPr="006504AB">
        <w:rPr>
          <w:rFonts w:cs="Arial Mäori"/>
          <w:b/>
          <w:bCs/>
          <w:color w:val="000000"/>
        </w:rPr>
        <w:t>General information</w:t>
      </w:r>
      <w:r w:rsidRPr="006504AB">
        <w:rPr>
          <w:rFonts w:cs="Arial"/>
          <w:color w:val="000000"/>
        </w:rPr>
        <w:t xml:space="preserve">: Items 1.1–1.6 including source agency, purpose of collection, summary of variables, and time span of the data. </w:t>
      </w:r>
    </w:p>
    <w:p w14:paraId="25CF1B80" w14:textId="77777777" w:rsidR="006504AB" w:rsidRDefault="00B1566F" w:rsidP="007B596F">
      <w:pPr>
        <w:pStyle w:val="ListParagraph"/>
        <w:numPr>
          <w:ilvl w:val="0"/>
          <w:numId w:val="6"/>
        </w:numPr>
        <w:autoSpaceDE w:val="0"/>
        <w:autoSpaceDN w:val="0"/>
        <w:adjustRightInd w:val="0"/>
        <w:spacing w:after="148" w:line="240" w:lineRule="auto"/>
        <w:jc w:val="both"/>
        <w:rPr>
          <w:rFonts w:cs="Arial"/>
          <w:color w:val="000000"/>
        </w:rPr>
      </w:pPr>
      <w:r w:rsidRPr="006504AB">
        <w:rPr>
          <w:rFonts w:cs="Arial Mäori"/>
          <w:b/>
          <w:bCs/>
          <w:color w:val="000000"/>
        </w:rPr>
        <w:t>Population</w:t>
      </w:r>
      <w:r w:rsidRPr="006504AB">
        <w:rPr>
          <w:rFonts w:cs="Arial"/>
          <w:color w:val="000000"/>
        </w:rPr>
        <w:t xml:space="preserve">: The target population, admin population, and reporting units. The items relating to coverage might not be possible to answer with a quick assessment but note anything you </w:t>
      </w:r>
      <w:r w:rsidR="006504AB">
        <w:rPr>
          <w:rFonts w:cs="Arial"/>
          <w:color w:val="000000"/>
        </w:rPr>
        <w:t>do know.</w:t>
      </w:r>
    </w:p>
    <w:p w14:paraId="155EC19D" w14:textId="77777777" w:rsidR="006504AB" w:rsidRDefault="00B1566F" w:rsidP="007B596F">
      <w:pPr>
        <w:pStyle w:val="ListParagraph"/>
        <w:numPr>
          <w:ilvl w:val="0"/>
          <w:numId w:val="6"/>
        </w:numPr>
        <w:autoSpaceDE w:val="0"/>
        <w:autoSpaceDN w:val="0"/>
        <w:adjustRightInd w:val="0"/>
        <w:spacing w:after="148" w:line="240" w:lineRule="auto"/>
        <w:jc w:val="both"/>
        <w:rPr>
          <w:rFonts w:cs="Arial"/>
          <w:color w:val="000000"/>
        </w:rPr>
      </w:pPr>
      <w:r w:rsidRPr="006504AB">
        <w:rPr>
          <w:rFonts w:cs="Arial Mäori"/>
          <w:b/>
          <w:bCs/>
          <w:color w:val="000000"/>
        </w:rPr>
        <w:t>Variables</w:t>
      </w:r>
      <w:r w:rsidRPr="006504AB">
        <w:rPr>
          <w:rFonts w:cs="Arial"/>
          <w:color w:val="000000"/>
        </w:rPr>
        <w:t xml:space="preserve">: A short description of key variables. As work progresses, record the target concepts for the variables under investigation as they become known. </w:t>
      </w:r>
    </w:p>
    <w:p w14:paraId="6F365BC7" w14:textId="77777777" w:rsidR="00B1566F" w:rsidRPr="006504AB" w:rsidRDefault="00B1566F" w:rsidP="007B596F">
      <w:pPr>
        <w:pStyle w:val="ListParagraph"/>
        <w:numPr>
          <w:ilvl w:val="0"/>
          <w:numId w:val="6"/>
        </w:numPr>
        <w:autoSpaceDE w:val="0"/>
        <w:autoSpaceDN w:val="0"/>
        <w:adjustRightInd w:val="0"/>
        <w:spacing w:after="148" w:line="240" w:lineRule="auto"/>
        <w:jc w:val="both"/>
        <w:rPr>
          <w:rFonts w:cs="Arial"/>
          <w:color w:val="000000"/>
        </w:rPr>
      </w:pPr>
      <w:r w:rsidRPr="006504AB">
        <w:rPr>
          <w:rFonts w:cs="Arial Mäori"/>
          <w:b/>
          <w:bCs/>
          <w:color w:val="000000"/>
        </w:rPr>
        <w:t>Collection</w:t>
      </w:r>
      <w:r w:rsidRPr="006504AB">
        <w:rPr>
          <w:rFonts w:cs="Arial"/>
          <w:color w:val="000000"/>
        </w:rPr>
        <w:t xml:space="preserve">: The timing/delay information and method of collection are important and should be easy to find out and record. </w:t>
      </w:r>
    </w:p>
    <w:p w14:paraId="136BE6E5" w14:textId="77777777" w:rsidR="00B1566F" w:rsidRPr="00DD6BF1" w:rsidRDefault="007B596F" w:rsidP="007B596F">
      <w:pPr>
        <w:pStyle w:val="Default"/>
        <w:jc w:val="both"/>
        <w:rPr>
          <w:rFonts w:asciiTheme="minorHAnsi" w:hAnsiTheme="minorHAnsi"/>
          <w:sz w:val="22"/>
          <w:szCs w:val="22"/>
        </w:rPr>
      </w:pPr>
      <w:r w:rsidRPr="00DD6BF1">
        <w:rPr>
          <w:rFonts w:asciiTheme="minorHAnsi" w:hAnsiTheme="minorHAnsi"/>
          <w:sz w:val="22"/>
          <w:szCs w:val="22"/>
        </w:rPr>
        <w:t xml:space="preserve">The </w:t>
      </w:r>
      <w:r w:rsidR="00E67B26">
        <w:rPr>
          <w:rFonts w:asciiTheme="minorHAnsi" w:hAnsiTheme="minorHAnsi"/>
          <w:sz w:val="22"/>
          <w:szCs w:val="22"/>
        </w:rPr>
        <w:t>2</w:t>
      </w:r>
      <w:r w:rsidR="00E67B26" w:rsidRPr="00E67B26">
        <w:rPr>
          <w:rFonts w:asciiTheme="minorHAnsi" w:hAnsiTheme="minorHAnsi"/>
          <w:sz w:val="22"/>
          <w:szCs w:val="22"/>
          <w:vertAlign w:val="superscript"/>
        </w:rPr>
        <w:t>nd</w:t>
      </w:r>
      <w:r w:rsidR="00E67B26">
        <w:rPr>
          <w:rFonts w:asciiTheme="minorHAnsi" w:hAnsiTheme="minorHAnsi"/>
          <w:sz w:val="22"/>
          <w:szCs w:val="22"/>
        </w:rPr>
        <w:t xml:space="preserve"> </w:t>
      </w:r>
      <w:r w:rsidRPr="00DD6BF1">
        <w:rPr>
          <w:rFonts w:asciiTheme="minorHAnsi" w:hAnsiTheme="minorHAnsi"/>
          <w:sz w:val="22"/>
          <w:szCs w:val="22"/>
        </w:rPr>
        <w:t xml:space="preserve">step involves the identification and categorisation of errors present in each input dataset. </w:t>
      </w:r>
      <w:r w:rsidRPr="00DD6BF1">
        <w:rPr>
          <w:rFonts w:asciiTheme="minorHAnsi" w:eastAsia="Calibri" w:hAnsiTheme="minorHAnsi" w:cstheme="minorHAnsi"/>
          <w:sz w:val="22"/>
          <w:szCs w:val="22"/>
        </w:rPr>
        <w:t xml:space="preserve">This involves detailed consideration of how the methods, purpose, known issues, and other aspects of the original data collection contribute to each of the specific error categories in the phase 1 of the error framework discussed in the attached file titled </w:t>
      </w:r>
      <w:r w:rsidRPr="007B596F">
        <w:rPr>
          <w:rFonts w:asciiTheme="minorHAnsi" w:hAnsiTheme="minorHAnsi"/>
          <w:i/>
          <w:sz w:val="22"/>
          <w:szCs w:val="22"/>
        </w:rPr>
        <w:t xml:space="preserve">Guide to reporting on </w:t>
      </w:r>
      <w:r w:rsidRPr="00DD6BF1">
        <w:rPr>
          <w:rFonts w:asciiTheme="minorHAnsi" w:hAnsiTheme="minorHAnsi"/>
          <w:i/>
          <w:sz w:val="22"/>
          <w:szCs w:val="22"/>
        </w:rPr>
        <w:t>administrative data quality</w:t>
      </w:r>
      <w:r w:rsidRPr="00DD6BF1">
        <w:rPr>
          <w:rFonts w:asciiTheme="minorHAnsi" w:hAnsiTheme="minorHAnsi"/>
          <w:sz w:val="22"/>
          <w:szCs w:val="22"/>
        </w:rPr>
        <w:t>.</w:t>
      </w:r>
    </w:p>
    <w:p w14:paraId="2D858D93" w14:textId="77777777" w:rsidR="00DD6BF1" w:rsidRPr="00DD6BF1" w:rsidRDefault="00DD6BF1" w:rsidP="00DD6BF1">
      <w:pPr>
        <w:pStyle w:val="Default"/>
        <w:spacing w:before="240"/>
        <w:jc w:val="both"/>
        <w:rPr>
          <w:rFonts w:asciiTheme="minorHAnsi" w:hAnsiTheme="minorHAnsi"/>
          <w:sz w:val="22"/>
          <w:szCs w:val="22"/>
        </w:rPr>
      </w:pPr>
      <w:r w:rsidRPr="00DD6BF1">
        <w:rPr>
          <w:rFonts w:asciiTheme="minorHAnsi" w:hAnsiTheme="minorHAnsi"/>
          <w:sz w:val="22"/>
          <w:szCs w:val="22"/>
        </w:rPr>
        <w:t>The 3</w:t>
      </w:r>
      <w:r w:rsidRPr="00DD6BF1">
        <w:rPr>
          <w:rFonts w:asciiTheme="minorHAnsi" w:hAnsiTheme="minorHAnsi"/>
          <w:sz w:val="22"/>
          <w:szCs w:val="22"/>
          <w:vertAlign w:val="superscript"/>
        </w:rPr>
        <w:t>rd</w:t>
      </w:r>
      <w:r w:rsidRPr="00DD6BF1">
        <w:rPr>
          <w:rFonts w:asciiTheme="minorHAnsi" w:hAnsiTheme="minorHAnsi"/>
          <w:sz w:val="22"/>
          <w:szCs w:val="22"/>
        </w:rPr>
        <w:t xml:space="preserve"> step involves identification and categorisation of errors arising from the integration of the different data sources. These errors are considered with respect to the intended statistical target concepts and population. The effects of phase 1 errors on the integrated dataset must be understood to determine if these flow into phase 2. Phase 2 is discussed in detail in </w:t>
      </w:r>
      <w:r w:rsidRPr="00DD6BF1">
        <w:rPr>
          <w:rFonts w:asciiTheme="minorHAnsi" w:eastAsia="Calibri" w:hAnsiTheme="minorHAnsi" w:cstheme="minorHAnsi"/>
          <w:sz w:val="22"/>
          <w:szCs w:val="22"/>
        </w:rPr>
        <w:t xml:space="preserve">the attached file titled </w:t>
      </w:r>
      <w:r w:rsidRPr="007B596F">
        <w:rPr>
          <w:rFonts w:asciiTheme="minorHAnsi" w:hAnsiTheme="minorHAnsi"/>
          <w:i/>
          <w:sz w:val="22"/>
          <w:szCs w:val="22"/>
        </w:rPr>
        <w:t xml:space="preserve">Guide to reporting on </w:t>
      </w:r>
      <w:r w:rsidRPr="00DD6BF1">
        <w:rPr>
          <w:rFonts w:asciiTheme="minorHAnsi" w:hAnsiTheme="minorHAnsi"/>
          <w:i/>
          <w:sz w:val="22"/>
          <w:szCs w:val="22"/>
        </w:rPr>
        <w:t>administrative data quality</w:t>
      </w:r>
      <w:r w:rsidRPr="00DD6BF1">
        <w:rPr>
          <w:rFonts w:asciiTheme="minorHAnsi" w:hAnsiTheme="minorHAnsi"/>
          <w:sz w:val="22"/>
          <w:szCs w:val="22"/>
        </w:rPr>
        <w:t>.</w:t>
      </w:r>
    </w:p>
    <w:p w14:paraId="77950496" w14:textId="77777777" w:rsidR="00ED3EAD" w:rsidRDefault="00DD6BF1" w:rsidP="00ED3EAD">
      <w:pPr>
        <w:spacing w:before="240" w:line="240" w:lineRule="auto"/>
      </w:pPr>
      <w:r w:rsidRPr="00DD6BF1">
        <w:t>The 4</w:t>
      </w:r>
      <w:r w:rsidRPr="00DD6BF1">
        <w:rPr>
          <w:vertAlign w:val="superscript"/>
        </w:rPr>
        <w:t>th</w:t>
      </w:r>
      <w:r w:rsidRPr="00DD6BF1">
        <w:t xml:space="preserve"> step involves comparing the results on the distribution of wages and salaries</w:t>
      </w:r>
      <w:r>
        <w:t xml:space="preserve"> and income from self-employmen</w:t>
      </w:r>
      <w:r w:rsidR="00ED3EAD">
        <w:t>t</w:t>
      </w:r>
      <w:r>
        <w:t xml:space="preserve"> by age and sex from the linked NZIS-IR and HES-IR datasets.</w:t>
      </w:r>
    </w:p>
    <w:p w14:paraId="2ADDD392" w14:textId="77777777" w:rsidR="00396829" w:rsidRDefault="00396829" w:rsidP="00ED3EAD">
      <w:pPr>
        <w:spacing w:before="240" w:after="0" w:line="240" w:lineRule="auto"/>
        <w:rPr>
          <w:rFonts w:ascii="Calibri" w:eastAsia="Times New Roman" w:hAnsi="Calibri" w:cs="Calibri"/>
          <w:color w:val="008080"/>
          <w:sz w:val="30"/>
          <w:szCs w:val="30"/>
          <w:lang w:eastAsia="en-NZ"/>
        </w:rPr>
      </w:pPr>
      <w:r w:rsidRPr="00396829">
        <w:rPr>
          <w:rFonts w:ascii="Calibri" w:eastAsia="Times New Roman" w:hAnsi="Calibri" w:cs="Calibri"/>
          <w:color w:val="008080"/>
          <w:sz w:val="30"/>
          <w:szCs w:val="30"/>
          <w:lang w:eastAsia="en-NZ"/>
        </w:rPr>
        <w:t>Outputs</w:t>
      </w:r>
    </w:p>
    <w:p w14:paraId="1B0A633B" w14:textId="77777777" w:rsidR="00AD608B" w:rsidRDefault="00AD608B" w:rsidP="00AD608B">
      <w:pPr>
        <w:shd w:val="clear" w:color="auto" w:fill="FFFFFF"/>
        <w:spacing w:after="0" w:line="240" w:lineRule="auto"/>
        <w:jc w:val="both"/>
        <w:outlineLvl w:val="1"/>
        <w:rPr>
          <w:rFonts w:ascii="Calibri" w:eastAsia="Times New Roman" w:hAnsi="Calibri" w:cs="Calibri"/>
          <w:lang w:eastAsia="en-NZ"/>
        </w:rPr>
      </w:pPr>
      <w:r w:rsidRPr="00AD608B">
        <w:rPr>
          <w:rFonts w:ascii="Calibri" w:eastAsia="Times New Roman" w:hAnsi="Calibri" w:cs="Calibri"/>
          <w:lang w:eastAsia="en-NZ"/>
        </w:rPr>
        <w:t xml:space="preserve">The following </w:t>
      </w:r>
      <w:r>
        <w:rPr>
          <w:rFonts w:ascii="Calibri" w:eastAsia="Times New Roman" w:hAnsi="Calibri" w:cs="Calibri"/>
          <w:lang w:eastAsia="en-NZ"/>
        </w:rPr>
        <w:t>table provides the basic information on the input datasets, the NZIS, the HES and tax data in the IDI.</w:t>
      </w:r>
    </w:p>
    <w:tbl>
      <w:tblPr>
        <w:tblStyle w:val="TableGrid"/>
        <w:tblW w:w="10638" w:type="dxa"/>
        <w:tblLook w:val="04A0" w:firstRow="1" w:lastRow="0" w:firstColumn="1" w:lastColumn="0" w:noHBand="0" w:noVBand="1"/>
      </w:tblPr>
      <w:tblGrid>
        <w:gridCol w:w="1980"/>
        <w:gridCol w:w="3078"/>
        <w:gridCol w:w="3060"/>
        <w:gridCol w:w="2520"/>
      </w:tblGrid>
      <w:tr w:rsidR="00AD608B" w14:paraId="333EECAA" w14:textId="77777777" w:rsidTr="00ED3EAD">
        <w:tc>
          <w:tcPr>
            <w:tcW w:w="1980" w:type="dxa"/>
          </w:tcPr>
          <w:p w14:paraId="788D8414" w14:textId="77777777" w:rsidR="00AD608B" w:rsidRDefault="00AD608B" w:rsidP="00F74208">
            <w:pPr>
              <w:jc w:val="center"/>
              <w:rPr>
                <w:b/>
              </w:rPr>
            </w:pPr>
            <w:r>
              <w:rPr>
                <w:b/>
              </w:rPr>
              <w:t>Information object</w:t>
            </w:r>
          </w:p>
        </w:tc>
        <w:tc>
          <w:tcPr>
            <w:tcW w:w="3078" w:type="dxa"/>
          </w:tcPr>
          <w:p w14:paraId="6810F590" w14:textId="77777777" w:rsidR="00AD608B" w:rsidRDefault="00AD608B" w:rsidP="00F74208">
            <w:pPr>
              <w:jc w:val="center"/>
              <w:rPr>
                <w:b/>
              </w:rPr>
            </w:pPr>
            <w:r>
              <w:rPr>
                <w:b/>
              </w:rPr>
              <w:t>NZIS</w:t>
            </w:r>
          </w:p>
        </w:tc>
        <w:tc>
          <w:tcPr>
            <w:tcW w:w="3060" w:type="dxa"/>
          </w:tcPr>
          <w:p w14:paraId="6DA990B8" w14:textId="77777777" w:rsidR="00AD608B" w:rsidRDefault="00AD608B" w:rsidP="00F74208">
            <w:pPr>
              <w:rPr>
                <w:b/>
              </w:rPr>
            </w:pPr>
            <w:r>
              <w:rPr>
                <w:b/>
              </w:rPr>
              <w:t>HES</w:t>
            </w:r>
          </w:p>
        </w:tc>
        <w:tc>
          <w:tcPr>
            <w:tcW w:w="2520" w:type="dxa"/>
          </w:tcPr>
          <w:p w14:paraId="1D21C2E7" w14:textId="77777777" w:rsidR="00AD608B" w:rsidRDefault="00AD608B" w:rsidP="00F74208">
            <w:pPr>
              <w:rPr>
                <w:b/>
              </w:rPr>
            </w:pPr>
            <w:r>
              <w:rPr>
                <w:b/>
              </w:rPr>
              <w:t>IR tax data</w:t>
            </w:r>
          </w:p>
        </w:tc>
      </w:tr>
      <w:tr w:rsidR="00AD608B" w14:paraId="60DE780B" w14:textId="77777777" w:rsidTr="00ED3EAD">
        <w:tc>
          <w:tcPr>
            <w:tcW w:w="1980" w:type="dxa"/>
          </w:tcPr>
          <w:p w14:paraId="1009F9F2" w14:textId="77777777" w:rsidR="00AD608B" w:rsidRDefault="00AD608B" w:rsidP="00F74208">
            <w:pPr>
              <w:rPr>
                <w:b/>
              </w:rPr>
            </w:pPr>
            <w:r>
              <w:rPr>
                <w:b/>
              </w:rPr>
              <w:t>Source agency</w:t>
            </w:r>
          </w:p>
        </w:tc>
        <w:tc>
          <w:tcPr>
            <w:tcW w:w="3078" w:type="dxa"/>
          </w:tcPr>
          <w:p w14:paraId="69C677A0" w14:textId="77777777" w:rsidR="00AD608B" w:rsidRPr="00DC5A72" w:rsidRDefault="00AD608B" w:rsidP="00F74208">
            <w:r>
              <w:t>Statistics NZ</w:t>
            </w:r>
          </w:p>
        </w:tc>
        <w:tc>
          <w:tcPr>
            <w:tcW w:w="3060" w:type="dxa"/>
          </w:tcPr>
          <w:p w14:paraId="7DE83699" w14:textId="77777777" w:rsidR="00AD608B" w:rsidRPr="00DC5A72" w:rsidRDefault="00AD608B" w:rsidP="00F74208">
            <w:r w:rsidRPr="00DC5A72">
              <w:t>Statistics NZ</w:t>
            </w:r>
          </w:p>
        </w:tc>
        <w:tc>
          <w:tcPr>
            <w:tcW w:w="2520" w:type="dxa"/>
          </w:tcPr>
          <w:p w14:paraId="508386FD" w14:textId="77777777" w:rsidR="00AD608B" w:rsidRPr="00DC5A72" w:rsidRDefault="00AD608B" w:rsidP="00F74208">
            <w:r>
              <w:t>Inland Revenue Department (IRD)</w:t>
            </w:r>
          </w:p>
        </w:tc>
      </w:tr>
      <w:tr w:rsidR="00AD608B" w14:paraId="38E237E5" w14:textId="77777777" w:rsidTr="00ED3EAD">
        <w:tc>
          <w:tcPr>
            <w:tcW w:w="1980" w:type="dxa"/>
          </w:tcPr>
          <w:p w14:paraId="51B0198F" w14:textId="77777777" w:rsidR="00AD608B" w:rsidRDefault="00AD608B" w:rsidP="00F74208">
            <w:pPr>
              <w:rPr>
                <w:b/>
              </w:rPr>
            </w:pPr>
            <w:r>
              <w:rPr>
                <w:b/>
              </w:rPr>
              <w:t>Purpose of data collection</w:t>
            </w:r>
          </w:p>
        </w:tc>
        <w:tc>
          <w:tcPr>
            <w:tcW w:w="3078" w:type="dxa"/>
          </w:tcPr>
          <w:p w14:paraId="6BD15B70" w14:textId="77777777" w:rsidR="00AD608B" w:rsidRPr="00AD608B" w:rsidRDefault="00AD608B" w:rsidP="00F74208">
            <w:r>
              <w:t>P</w:t>
            </w:r>
            <w:r w:rsidRPr="00AD608B">
              <w:t>rovides a snapshot of income levels for people and households</w:t>
            </w:r>
          </w:p>
        </w:tc>
        <w:tc>
          <w:tcPr>
            <w:tcW w:w="3060" w:type="dxa"/>
          </w:tcPr>
          <w:p w14:paraId="59ADC562" w14:textId="77777777" w:rsidR="00AD608B" w:rsidRPr="006F06E2" w:rsidRDefault="006F06E2" w:rsidP="00F74208">
            <w:r>
              <w:t>C</w:t>
            </w:r>
            <w:r w:rsidRPr="006F06E2">
              <w:t xml:space="preserve">ollects information on household expenditure and income, as well as a wide range </w:t>
            </w:r>
            <w:r w:rsidRPr="006F06E2">
              <w:lastRenderedPageBreak/>
              <w:t>of demographic information on individuals and households</w:t>
            </w:r>
          </w:p>
        </w:tc>
        <w:tc>
          <w:tcPr>
            <w:tcW w:w="2520" w:type="dxa"/>
          </w:tcPr>
          <w:p w14:paraId="7A7A1771" w14:textId="77777777" w:rsidR="00AD608B" w:rsidRPr="006F06E2" w:rsidRDefault="006F06E2" w:rsidP="006F06E2">
            <w:r>
              <w:rPr>
                <w:rFonts w:eastAsia="Calibri" w:cstheme="minorHAnsi"/>
              </w:rPr>
              <w:lastRenderedPageBreak/>
              <w:t xml:space="preserve">Records </w:t>
            </w:r>
            <w:r w:rsidRPr="006F06E2">
              <w:rPr>
                <w:rFonts w:eastAsia="Calibri" w:cstheme="minorHAnsi"/>
              </w:rPr>
              <w:t xml:space="preserve">tax returns for the self-employed and businesses that deduct </w:t>
            </w:r>
            <w:r w:rsidRPr="006F06E2">
              <w:rPr>
                <w:rFonts w:eastAsia="Calibri" w:cstheme="minorHAnsi"/>
              </w:rPr>
              <w:lastRenderedPageBreak/>
              <w:t>tax directly from employees’ regular pay cal</w:t>
            </w:r>
            <w:r>
              <w:rPr>
                <w:rFonts w:eastAsia="Calibri" w:cstheme="minorHAnsi"/>
              </w:rPr>
              <w:t>led Pay As You Earn or PAYE tax and</w:t>
            </w:r>
            <w:r w:rsidRPr="006F06E2">
              <w:rPr>
                <w:rFonts w:eastAsia="Calibri" w:cstheme="minorHAnsi"/>
              </w:rPr>
              <w:t xml:space="preserve"> withholding payments relating to contractor’s pay</w:t>
            </w:r>
          </w:p>
        </w:tc>
      </w:tr>
      <w:tr w:rsidR="00AD608B" w14:paraId="3BF6B891" w14:textId="77777777" w:rsidTr="00ED3EAD">
        <w:tc>
          <w:tcPr>
            <w:tcW w:w="1980" w:type="dxa"/>
          </w:tcPr>
          <w:p w14:paraId="5987311E" w14:textId="77777777" w:rsidR="00AD608B" w:rsidRDefault="00AD608B" w:rsidP="00F74208">
            <w:pPr>
              <w:rPr>
                <w:b/>
              </w:rPr>
            </w:pPr>
            <w:r>
              <w:rPr>
                <w:b/>
              </w:rPr>
              <w:lastRenderedPageBreak/>
              <w:t>Target set</w:t>
            </w:r>
          </w:p>
        </w:tc>
        <w:tc>
          <w:tcPr>
            <w:tcW w:w="3078" w:type="dxa"/>
          </w:tcPr>
          <w:p w14:paraId="32743F70" w14:textId="77777777" w:rsidR="00AD608B" w:rsidRPr="00DC5A72" w:rsidRDefault="00E67B26" w:rsidP="00E67B26">
            <w:r>
              <w:t>A</w:t>
            </w:r>
            <w:r w:rsidRPr="00E67B26">
              <w:t>ll civilian, non-institutionalised usual residents of New Zealand aged 15 years and over</w:t>
            </w:r>
          </w:p>
        </w:tc>
        <w:tc>
          <w:tcPr>
            <w:tcW w:w="3060" w:type="dxa"/>
          </w:tcPr>
          <w:p w14:paraId="30B288F9" w14:textId="77777777" w:rsidR="00AD608B" w:rsidRPr="00DC5A72" w:rsidRDefault="00E67B26" w:rsidP="00F74208">
            <w:r w:rsidRPr="00E67B26">
              <w:t>all civilian, non-institutionalised usual residents of New Zealand aged 15 years and over</w:t>
            </w:r>
          </w:p>
        </w:tc>
        <w:tc>
          <w:tcPr>
            <w:tcW w:w="2520" w:type="dxa"/>
          </w:tcPr>
          <w:p w14:paraId="4C3D97C4" w14:textId="77777777" w:rsidR="00687324" w:rsidRPr="00687324" w:rsidRDefault="00687324" w:rsidP="00687324">
            <w:r>
              <w:t>A</w:t>
            </w:r>
            <w:r w:rsidRPr="00687324">
              <w:t>ny individual who has paid tax</w:t>
            </w:r>
          </w:p>
          <w:p w14:paraId="71F415D6" w14:textId="77777777" w:rsidR="00AD608B" w:rsidRPr="00DC5A72" w:rsidRDefault="00AD608B" w:rsidP="00F74208"/>
        </w:tc>
      </w:tr>
      <w:tr w:rsidR="00AD608B" w14:paraId="265AEFB6" w14:textId="77777777" w:rsidTr="00ED3EAD">
        <w:tc>
          <w:tcPr>
            <w:tcW w:w="1980" w:type="dxa"/>
          </w:tcPr>
          <w:p w14:paraId="0313560A" w14:textId="77777777" w:rsidR="00AD608B" w:rsidRDefault="00AD608B" w:rsidP="00F74208">
            <w:pPr>
              <w:rPr>
                <w:b/>
              </w:rPr>
            </w:pPr>
            <w:r>
              <w:rPr>
                <w:b/>
              </w:rPr>
              <w:t>Main variables collected</w:t>
            </w:r>
          </w:p>
        </w:tc>
        <w:tc>
          <w:tcPr>
            <w:tcW w:w="3078" w:type="dxa"/>
          </w:tcPr>
          <w:p w14:paraId="17D87C6D" w14:textId="77777777" w:rsidR="00AD608B" w:rsidRPr="00DC5A72" w:rsidRDefault="00ED3EAD" w:rsidP="00F74208">
            <w:r>
              <w:t>W</w:t>
            </w:r>
            <w:r w:rsidRPr="00ED3EAD">
              <w:t>eekly (before-tax) income</w:t>
            </w:r>
            <w:r>
              <w:t xml:space="preserve"> from various income sources. Main focus for experiment: income sourced from wages and salaries &amp; self-employment</w:t>
            </w:r>
          </w:p>
        </w:tc>
        <w:tc>
          <w:tcPr>
            <w:tcW w:w="3060" w:type="dxa"/>
          </w:tcPr>
          <w:p w14:paraId="672A1D51" w14:textId="77777777" w:rsidR="00AD608B" w:rsidRDefault="00ED3EAD" w:rsidP="00F74208">
            <w:r>
              <w:t>Annual</w:t>
            </w:r>
            <w:r w:rsidRPr="00ED3EAD">
              <w:t xml:space="preserve"> (before-tax) income</w:t>
            </w:r>
            <w:r>
              <w:t xml:space="preserve"> from various income sources. Main focus for experiment: income sourced from wages and salaries &amp; self-employment</w:t>
            </w:r>
          </w:p>
          <w:p w14:paraId="55B3945A" w14:textId="77777777" w:rsidR="00ED3EAD" w:rsidRPr="00DC5A72" w:rsidRDefault="00ED3EAD" w:rsidP="00F74208">
            <w:r>
              <w:t>Annual household expenditure</w:t>
            </w:r>
          </w:p>
        </w:tc>
        <w:tc>
          <w:tcPr>
            <w:tcW w:w="2520" w:type="dxa"/>
          </w:tcPr>
          <w:p w14:paraId="654F180F" w14:textId="77777777" w:rsidR="00AD608B" w:rsidRPr="00DC5A72" w:rsidRDefault="007C5CF0" w:rsidP="00F74208">
            <w:r>
              <w:t xml:space="preserve">Gross earnings, PAYE, </w:t>
            </w:r>
            <w:r w:rsidR="00343DE9" w:rsidRPr="00343DE9">
              <w:rPr>
                <w:rFonts w:cstheme="minorHAnsi"/>
              </w:rPr>
              <w:t>non-zero partnership, self-employment, or shareholder salary income</w:t>
            </w:r>
          </w:p>
        </w:tc>
      </w:tr>
      <w:tr w:rsidR="00AD608B" w14:paraId="6DA1EA44" w14:textId="77777777" w:rsidTr="00ED3EAD">
        <w:tc>
          <w:tcPr>
            <w:tcW w:w="1980" w:type="dxa"/>
          </w:tcPr>
          <w:p w14:paraId="09AAE10D" w14:textId="77777777" w:rsidR="00AD608B" w:rsidRDefault="00AD608B" w:rsidP="00F74208">
            <w:pPr>
              <w:rPr>
                <w:b/>
              </w:rPr>
            </w:pPr>
            <w:r>
              <w:rPr>
                <w:b/>
              </w:rPr>
              <w:t>Mode of collection</w:t>
            </w:r>
          </w:p>
        </w:tc>
        <w:tc>
          <w:tcPr>
            <w:tcW w:w="3078" w:type="dxa"/>
          </w:tcPr>
          <w:p w14:paraId="7B887195" w14:textId="77777777" w:rsidR="00AD608B" w:rsidRPr="003262E8" w:rsidRDefault="00ED3EAD" w:rsidP="00ED3EAD">
            <w:r w:rsidRPr="003262E8">
              <w:t xml:space="preserve">CAPI, CATI ; uses </w:t>
            </w:r>
            <w:r w:rsidRPr="003262E8">
              <w:rPr>
                <w:rFonts w:cstheme="minorHAnsi"/>
              </w:rPr>
              <w:t>same respondents over eight consecutive quarters</w:t>
            </w:r>
          </w:p>
        </w:tc>
        <w:tc>
          <w:tcPr>
            <w:tcW w:w="3060" w:type="dxa"/>
          </w:tcPr>
          <w:p w14:paraId="3C7A545F" w14:textId="77777777" w:rsidR="00AD608B" w:rsidRPr="00DC5A72" w:rsidRDefault="00ED3EAD" w:rsidP="00F74208">
            <w:r>
              <w:t>CAPI</w:t>
            </w:r>
          </w:p>
        </w:tc>
        <w:tc>
          <w:tcPr>
            <w:tcW w:w="2520" w:type="dxa"/>
          </w:tcPr>
          <w:p w14:paraId="3C038213" w14:textId="77777777" w:rsidR="00AD608B" w:rsidRPr="00DC5A72" w:rsidRDefault="00343DE9" w:rsidP="00F74208">
            <w:r>
              <w:t>On-line and paper forms</w:t>
            </w:r>
          </w:p>
        </w:tc>
      </w:tr>
    </w:tbl>
    <w:p w14:paraId="77A52AF6" w14:textId="77777777" w:rsidR="00343DE9" w:rsidRPr="00343DE9" w:rsidRDefault="00343DE9" w:rsidP="00343DE9">
      <w:pPr>
        <w:pStyle w:val="Heading3"/>
        <w:spacing w:after="0" w:afterAutospacing="0"/>
        <w:jc w:val="both"/>
        <w:rPr>
          <w:rStyle w:val="Strong"/>
          <w:rFonts w:asciiTheme="minorHAnsi" w:hAnsiTheme="minorHAnsi" w:cstheme="minorHAnsi"/>
          <w:b/>
          <w:color w:val="008080"/>
          <w:sz w:val="24"/>
          <w:szCs w:val="24"/>
        </w:rPr>
      </w:pPr>
      <w:r w:rsidRPr="00343DE9">
        <w:rPr>
          <w:rStyle w:val="Strong"/>
          <w:rFonts w:asciiTheme="minorHAnsi" w:hAnsiTheme="minorHAnsi" w:cstheme="minorHAnsi"/>
          <w:b/>
          <w:color w:val="008080"/>
          <w:sz w:val="24"/>
          <w:szCs w:val="24"/>
        </w:rPr>
        <w:t>Comparison of income concepts and population definitions</w:t>
      </w:r>
    </w:p>
    <w:p w14:paraId="166E0DBD" w14:textId="77777777" w:rsidR="00343DE9" w:rsidRPr="00791752" w:rsidRDefault="00343DE9" w:rsidP="00343DE9">
      <w:pPr>
        <w:autoSpaceDE w:val="0"/>
        <w:autoSpaceDN w:val="0"/>
        <w:adjustRightInd w:val="0"/>
        <w:spacing w:after="0" w:line="240" w:lineRule="auto"/>
        <w:jc w:val="both"/>
      </w:pPr>
      <w:r w:rsidRPr="00791752">
        <w:t xml:space="preserve">The </w:t>
      </w:r>
      <w:hyperlink r:id="rId14" w:history="1">
        <w:r w:rsidRPr="00791752">
          <w:rPr>
            <w:rStyle w:val="Hyperlink"/>
          </w:rPr>
          <w:t>NZIS</w:t>
        </w:r>
      </w:hyperlink>
      <w:r w:rsidRPr="00791752">
        <w:t xml:space="preserve"> reports on weekly (before-tax) income and relates specifically to a week during the June quarter; that is, a snapshot in time of income levels for people and households. The weekly earning reported by an individual cannot simply be converted to an annual income since an individual can change jobs in a year resulting in a different weekly pay. </w:t>
      </w:r>
      <w:r w:rsidRPr="00791752">
        <w:rPr>
          <w:rFonts w:cs="Times New Roman"/>
        </w:rPr>
        <w:t xml:space="preserve">Meanwhile, HES collects annual income from all sources – wages and salaries, self-employment, benefits and investments at both the personal and household levels. </w:t>
      </w:r>
      <w:r w:rsidRPr="00791752">
        <w:t xml:space="preserve"> </w:t>
      </w:r>
      <w:r w:rsidRPr="00791752">
        <w:rPr>
          <w:rFonts w:cs="CMR10"/>
        </w:rPr>
        <w:t xml:space="preserve">On the other hand, the tax data in the IDI provides monthly payment for an individual who pays New Zealand income tax that is deducted at source. These indicate notable differences in the concept of personal income across the three data sources. The conceptual differences are also apparent in the linked datasets, HLFS-IDI and HES-IDI. </w:t>
      </w:r>
    </w:p>
    <w:p w14:paraId="1711D491" w14:textId="77777777" w:rsidR="00343DE9" w:rsidRPr="00791752" w:rsidRDefault="00343DE9" w:rsidP="00343DE9">
      <w:pPr>
        <w:autoSpaceDE w:val="0"/>
        <w:autoSpaceDN w:val="0"/>
        <w:adjustRightInd w:val="0"/>
        <w:spacing w:after="0" w:line="240" w:lineRule="auto"/>
        <w:jc w:val="both"/>
      </w:pPr>
    </w:p>
    <w:p w14:paraId="22148E67" w14:textId="77777777" w:rsidR="00343DE9" w:rsidRPr="00791752" w:rsidRDefault="00343DE9" w:rsidP="00343DE9">
      <w:pPr>
        <w:autoSpaceDE w:val="0"/>
        <w:autoSpaceDN w:val="0"/>
        <w:adjustRightInd w:val="0"/>
        <w:spacing w:after="0" w:line="240" w:lineRule="auto"/>
        <w:jc w:val="both"/>
        <w:rPr>
          <w:rFonts w:cs="CMR10"/>
        </w:rPr>
      </w:pPr>
      <w:r w:rsidRPr="00791752">
        <w:rPr>
          <w:rFonts w:cs="CMR10"/>
        </w:rPr>
        <w:t>The target population for NZIS and HES includes all civilian, non-institutionalised usual residents of New Zealand aged 15 years and over. Meanwhile, the target population of the tax data in the IDI includes any individual issued an IRD number by Inland Revenue. New Zealand residents who do not have an IRD number are not included in the tax data. Similarly, not all individuals issued IRD numbers are New Zealand residents. These show different target populations for the three data sources. However, the differences in the definition of the target populations for the linked datasets, HLFS-IDI and HES-IDI disappear.</w:t>
      </w:r>
    </w:p>
    <w:p w14:paraId="09A7C316" w14:textId="77777777" w:rsidR="00343DE9" w:rsidRPr="00791752" w:rsidRDefault="00343DE9" w:rsidP="00343DE9">
      <w:pPr>
        <w:autoSpaceDE w:val="0"/>
        <w:autoSpaceDN w:val="0"/>
        <w:adjustRightInd w:val="0"/>
        <w:spacing w:after="0" w:line="240" w:lineRule="auto"/>
        <w:jc w:val="both"/>
        <w:rPr>
          <w:rFonts w:cs="CMR10"/>
        </w:rPr>
      </w:pPr>
    </w:p>
    <w:p w14:paraId="03F3E947" w14:textId="77777777" w:rsidR="00343DE9" w:rsidRPr="00343DE9" w:rsidRDefault="00343DE9" w:rsidP="00343DE9">
      <w:pPr>
        <w:pStyle w:val="Heading3"/>
        <w:spacing w:before="0" w:beforeAutospacing="0" w:after="0" w:afterAutospacing="0"/>
        <w:jc w:val="both"/>
        <w:rPr>
          <w:rStyle w:val="Strong"/>
          <w:rFonts w:asciiTheme="minorHAnsi" w:hAnsiTheme="minorHAnsi" w:cstheme="minorHAnsi"/>
          <w:b/>
          <w:color w:val="008080"/>
          <w:sz w:val="24"/>
          <w:szCs w:val="24"/>
        </w:rPr>
      </w:pPr>
      <w:r w:rsidRPr="00343DE9">
        <w:rPr>
          <w:rStyle w:val="Strong"/>
          <w:rFonts w:asciiTheme="minorHAnsi" w:hAnsiTheme="minorHAnsi" w:cstheme="minorHAnsi"/>
          <w:b/>
          <w:color w:val="008080"/>
          <w:sz w:val="24"/>
          <w:szCs w:val="24"/>
        </w:rPr>
        <w:t xml:space="preserve">Comparison of measurement and processing errors across datasets </w:t>
      </w:r>
    </w:p>
    <w:p w14:paraId="3F490ACE" w14:textId="77777777" w:rsidR="00343DE9" w:rsidRPr="00791752" w:rsidRDefault="00343DE9" w:rsidP="00343DE9">
      <w:pPr>
        <w:autoSpaceDE w:val="0"/>
        <w:autoSpaceDN w:val="0"/>
        <w:adjustRightInd w:val="0"/>
        <w:spacing w:line="240" w:lineRule="auto"/>
        <w:jc w:val="both"/>
      </w:pPr>
      <w:r w:rsidRPr="00791752">
        <w:rPr>
          <w:rFonts w:cs="CMR10"/>
        </w:rPr>
        <w:t xml:space="preserve">Item non-response is an issue in the NZIS and HES responses. Only about 80% of the NZIS respondents and about 67% of the HES respondents have a valid response. Other common measurement errors include: </w:t>
      </w:r>
      <w:r w:rsidRPr="00791752">
        <w:t xml:space="preserve">confusing before-tax with after-tax income, recall errors when someone does not remember receiving income from a particular source, approximations made by respondents, such as rating up their latest pay cheque to an annual figure when they also received bonus payments or pay increases; or mistakes when rating up the net pay cheque (e.g., the amount actually on a bank statement) to a before-tax amount. Processing errors arise from edits and imputations carried out. </w:t>
      </w:r>
    </w:p>
    <w:p w14:paraId="70305BA5" w14:textId="77777777" w:rsidR="00343DE9" w:rsidRPr="00791752" w:rsidRDefault="00343DE9" w:rsidP="00343DE9">
      <w:pPr>
        <w:autoSpaceDE w:val="0"/>
        <w:autoSpaceDN w:val="0"/>
        <w:adjustRightInd w:val="0"/>
        <w:spacing w:after="0" w:line="240" w:lineRule="auto"/>
        <w:jc w:val="both"/>
      </w:pPr>
      <w:r w:rsidRPr="00791752">
        <w:t>Measurement errors, including item non-response, are minimal for the tax data because company payroll tax is audited to ensure the correct tax amount is paid to the government. A significant practical issue is that processing for tax data takes considerable time, which means there can be a delay of several months (or more) until full records for a given date are available.</w:t>
      </w:r>
    </w:p>
    <w:p w14:paraId="0A38CED8" w14:textId="77777777" w:rsidR="00343DE9" w:rsidRPr="00D30784" w:rsidRDefault="00343DE9" w:rsidP="00343DE9">
      <w:pPr>
        <w:autoSpaceDE w:val="0"/>
        <w:autoSpaceDN w:val="0"/>
        <w:adjustRightInd w:val="0"/>
        <w:spacing w:after="0" w:line="240" w:lineRule="auto"/>
        <w:jc w:val="both"/>
        <w:rPr>
          <w:sz w:val="20"/>
          <w:szCs w:val="20"/>
        </w:rPr>
      </w:pPr>
    </w:p>
    <w:p w14:paraId="4063D85C" w14:textId="77777777" w:rsidR="00343DE9" w:rsidRPr="00343DE9" w:rsidRDefault="00343DE9" w:rsidP="00343DE9">
      <w:pPr>
        <w:pStyle w:val="Heading3"/>
        <w:spacing w:before="0" w:beforeAutospacing="0" w:after="0" w:afterAutospacing="0"/>
        <w:jc w:val="both"/>
        <w:rPr>
          <w:rStyle w:val="Strong"/>
          <w:rFonts w:asciiTheme="minorHAnsi" w:hAnsiTheme="minorHAnsi" w:cstheme="minorHAnsi"/>
          <w:b/>
          <w:color w:val="008080"/>
          <w:sz w:val="24"/>
          <w:szCs w:val="24"/>
        </w:rPr>
      </w:pPr>
      <w:r w:rsidRPr="00343DE9">
        <w:rPr>
          <w:rStyle w:val="Strong"/>
          <w:rFonts w:asciiTheme="minorHAnsi" w:hAnsiTheme="minorHAnsi" w:cstheme="minorHAnsi"/>
          <w:b/>
          <w:color w:val="008080"/>
          <w:sz w:val="24"/>
          <w:szCs w:val="24"/>
        </w:rPr>
        <w:t>Validating income statistics using the integrated datasets</w:t>
      </w:r>
    </w:p>
    <w:p w14:paraId="51701B7C" w14:textId="77777777" w:rsidR="00343DE9" w:rsidRPr="00791752" w:rsidRDefault="00343DE9" w:rsidP="00343DE9">
      <w:pPr>
        <w:spacing w:line="240" w:lineRule="auto"/>
        <w:jc w:val="both"/>
        <w:rPr>
          <w:rFonts w:cstheme="minorHAnsi"/>
        </w:rPr>
      </w:pPr>
      <w:r w:rsidRPr="00791752">
        <w:rPr>
          <w:rFonts w:cstheme="minorHAnsi"/>
        </w:rPr>
        <w:t xml:space="preserve">The target population for the linked datasets, NZIS-IDI and HES-IDI, is the target population for NZIS and HES.  Linkage error is one source of coverage error for the integrated microdata. Missed links, for example if the name of a person is recorded differently on different files, is a potential source of undercoverage. False positives, for example two different people being incorrectly linked if their names and dates of birth are the same, contribute to overcoverage. </w:t>
      </w:r>
    </w:p>
    <w:p w14:paraId="54DB4A9F" w14:textId="77777777" w:rsidR="00343DE9" w:rsidRPr="00791752" w:rsidRDefault="00343DE9" w:rsidP="00343DE9">
      <w:pPr>
        <w:spacing w:line="240" w:lineRule="auto"/>
        <w:jc w:val="both"/>
        <w:rPr>
          <w:rFonts w:cstheme="minorHAnsi"/>
        </w:rPr>
      </w:pPr>
      <w:r w:rsidRPr="00791752">
        <w:rPr>
          <w:rFonts w:cstheme="minorHAnsi"/>
        </w:rPr>
        <w:lastRenderedPageBreak/>
        <w:t>The integration of tax in the IDI is also a potential source of linkage error which may flow through in the representation side of the NZIS-IDI and HES-IDI integrated datasets. An example is the duplicate records in the IDI which are caused by an individual who has 2 different IRD numbers.</w:t>
      </w:r>
    </w:p>
    <w:p w14:paraId="7BCAA926" w14:textId="77777777" w:rsidR="00791752" w:rsidRPr="00791752" w:rsidRDefault="00791752" w:rsidP="00791752">
      <w:pPr>
        <w:spacing w:line="240" w:lineRule="auto"/>
        <w:jc w:val="both"/>
        <w:rPr>
          <w:rFonts w:cstheme="minorHAnsi"/>
        </w:rPr>
      </w:pPr>
      <w:r w:rsidRPr="00791752">
        <w:rPr>
          <w:rFonts w:cstheme="minorHAnsi"/>
        </w:rPr>
        <w:t>The target concepts are income sources as defined in NZIS and HES. A source of relevance error in some cases is a person present in the integrated datasets but has no income recorded in the tax data for the reference periods of the NZIS in the NZIS-ID dataset and for the reference periods of the HES in the HES-IDI dataset.</w:t>
      </w:r>
    </w:p>
    <w:p w14:paraId="28C80C85" w14:textId="77777777" w:rsidR="00791752" w:rsidRPr="00791752" w:rsidRDefault="00791752" w:rsidP="00791752">
      <w:pPr>
        <w:spacing w:after="0" w:line="240" w:lineRule="auto"/>
        <w:jc w:val="both"/>
        <w:rPr>
          <w:rFonts w:cstheme="minorHAnsi"/>
        </w:rPr>
      </w:pPr>
      <w:r w:rsidRPr="00791752">
        <w:rPr>
          <w:rFonts w:cstheme="minorHAnsi"/>
        </w:rPr>
        <w:t>A source of mapping error is caused by the computation of weekly income for the linked NZIS-IDI dataset or annual income for the integrated HES-IDI dataset. A lot of companies pay fortnightly, hence, there could be 3 payment periods reported in a month by an employer. Similarly, some employers pay monthly. These create mapping errors for NZIS-IDI linked data which require the weekly income earned. Another source of mapping error is the computation of income from self-employment. Some components of this income source are paid annually at the end of the tax year. Other components are paid monthly.  These create mapping errors for NZIS-IDI linked data which require the weekly income earned from this source as well as the annual income for HES which collects data from July to the 30</w:t>
      </w:r>
      <w:r w:rsidRPr="00791752">
        <w:rPr>
          <w:rFonts w:cstheme="minorHAnsi"/>
          <w:vertAlign w:val="superscript"/>
        </w:rPr>
        <w:t>th</w:t>
      </w:r>
      <w:r w:rsidRPr="00791752">
        <w:rPr>
          <w:rFonts w:cstheme="minorHAnsi"/>
        </w:rPr>
        <w:t xml:space="preserve"> June of the following year.</w:t>
      </w:r>
    </w:p>
    <w:p w14:paraId="1D950B95" w14:textId="77777777" w:rsidR="00791752" w:rsidRPr="00791752" w:rsidRDefault="00791752" w:rsidP="00791752">
      <w:pPr>
        <w:spacing w:after="0" w:line="240" w:lineRule="auto"/>
        <w:jc w:val="both"/>
        <w:rPr>
          <w:rFonts w:cstheme="minorHAnsi"/>
        </w:rPr>
      </w:pPr>
    </w:p>
    <w:p w14:paraId="79EA0E9E" w14:textId="77777777" w:rsidR="00791752" w:rsidRPr="00791752" w:rsidRDefault="00791752" w:rsidP="00791752">
      <w:pPr>
        <w:spacing w:after="0" w:line="240" w:lineRule="auto"/>
        <w:jc w:val="both"/>
        <w:rPr>
          <w:rFonts w:cstheme="minorHAnsi"/>
        </w:rPr>
      </w:pPr>
      <w:r w:rsidRPr="00791752">
        <w:rPr>
          <w:rFonts w:cstheme="minorHAnsi"/>
        </w:rPr>
        <w:t xml:space="preserve">To make the NZIS and HES account for missing tax data (which is equivalent to a person missing an IRD number), an adjusted weight was applied to the final weight of an individual from the linked datasets. </w:t>
      </w:r>
    </w:p>
    <w:p w14:paraId="233FCC25" w14:textId="77777777" w:rsidR="00791752" w:rsidRPr="00791752" w:rsidRDefault="00791752" w:rsidP="00791752">
      <w:pPr>
        <w:spacing w:line="240" w:lineRule="auto"/>
        <w:jc w:val="both"/>
        <w:rPr>
          <w:rFonts w:cstheme="minorHAnsi"/>
        </w:rPr>
      </w:pPr>
      <w:r w:rsidRPr="00791752">
        <w:rPr>
          <w:rFonts w:cstheme="minorHAnsi"/>
        </w:rPr>
        <w:t xml:space="preserve">The inverse probability of having an IRD number was multiplied with the final weight to account for individuals with missing IRD numbers. The probability of having an IRD number was predicted using using logistic regression with the following as explanatory variables:  </w:t>
      </w:r>
      <w:r w:rsidRPr="00791752">
        <w:rPr>
          <w:rFonts w:cstheme="minorHAnsi"/>
          <w:lang w:val="en-US"/>
        </w:rPr>
        <w:t xml:space="preserve">highest qualification, labour force status, age group, ethnicity and </w:t>
      </w:r>
      <w:r w:rsidRPr="00791752">
        <w:rPr>
          <w:rFonts w:cstheme="minorHAnsi"/>
        </w:rPr>
        <w:t>household composition type.</w:t>
      </w:r>
    </w:p>
    <w:p w14:paraId="61876DF2" w14:textId="77777777" w:rsidR="00791752" w:rsidRPr="00791752" w:rsidRDefault="00791752" w:rsidP="00791752">
      <w:pPr>
        <w:pStyle w:val="Heading2"/>
        <w:spacing w:before="0" w:beforeAutospacing="0" w:after="0" w:afterAutospacing="0"/>
        <w:rPr>
          <w:rFonts w:asciiTheme="minorHAnsi" w:hAnsiTheme="minorHAnsi" w:cstheme="minorHAnsi"/>
          <w:b w:val="0"/>
          <w:color w:val="008080"/>
          <w:sz w:val="24"/>
          <w:szCs w:val="24"/>
        </w:rPr>
      </w:pPr>
      <w:r w:rsidRPr="00791752">
        <w:rPr>
          <w:rFonts w:asciiTheme="minorHAnsi" w:hAnsiTheme="minorHAnsi" w:cstheme="minorHAnsi"/>
          <w:color w:val="008080"/>
          <w:sz w:val="24"/>
          <w:szCs w:val="24"/>
        </w:rPr>
        <w:t>Distribution of wage earnings</w:t>
      </w:r>
    </w:p>
    <w:p w14:paraId="2391DA32" w14:textId="77777777" w:rsidR="00791752" w:rsidRDefault="00791752" w:rsidP="00791752">
      <w:pPr>
        <w:tabs>
          <w:tab w:val="num" w:pos="450"/>
        </w:tabs>
        <w:spacing w:after="0" w:line="240" w:lineRule="auto"/>
        <w:jc w:val="both"/>
        <w:rPr>
          <w:rFonts w:cstheme="minorHAnsi"/>
          <w:sz w:val="20"/>
          <w:szCs w:val="20"/>
        </w:rPr>
      </w:pPr>
      <w:r w:rsidRPr="00741C08">
        <w:rPr>
          <w:rFonts w:cstheme="minorHAnsi"/>
          <w:sz w:val="20"/>
          <w:szCs w:val="20"/>
        </w:rPr>
        <w:t>The following table</w:t>
      </w:r>
      <w:r>
        <w:rPr>
          <w:rFonts w:cstheme="minorHAnsi"/>
          <w:sz w:val="20"/>
          <w:szCs w:val="20"/>
        </w:rPr>
        <w:t xml:space="preserve">s provide </w:t>
      </w:r>
      <w:r w:rsidRPr="00741C08">
        <w:rPr>
          <w:rFonts w:cstheme="minorHAnsi"/>
          <w:sz w:val="20"/>
          <w:szCs w:val="20"/>
        </w:rPr>
        <w:t xml:space="preserve">the correlation coefficients of </w:t>
      </w:r>
      <w:r>
        <w:rPr>
          <w:rFonts w:cstheme="minorHAnsi"/>
          <w:sz w:val="20"/>
          <w:szCs w:val="20"/>
        </w:rPr>
        <w:t xml:space="preserve">the same </w:t>
      </w:r>
      <w:r w:rsidRPr="00741C08">
        <w:rPr>
          <w:rFonts w:cstheme="minorHAnsi"/>
          <w:sz w:val="20"/>
          <w:szCs w:val="20"/>
        </w:rPr>
        <w:t xml:space="preserve">income </w:t>
      </w:r>
      <w:r>
        <w:rPr>
          <w:rFonts w:cstheme="minorHAnsi"/>
          <w:sz w:val="20"/>
          <w:szCs w:val="20"/>
        </w:rPr>
        <w:t xml:space="preserve">source </w:t>
      </w:r>
      <w:r w:rsidRPr="00741C08">
        <w:rPr>
          <w:rFonts w:cstheme="minorHAnsi"/>
          <w:sz w:val="20"/>
          <w:szCs w:val="20"/>
        </w:rPr>
        <w:t xml:space="preserve">between </w:t>
      </w:r>
      <w:r>
        <w:rPr>
          <w:rFonts w:cstheme="minorHAnsi"/>
          <w:sz w:val="20"/>
          <w:szCs w:val="20"/>
        </w:rPr>
        <w:t>NZIS and the tax data and HES and the tax data using the corresponding linked datasets, NZIS-IDI and</w:t>
      </w:r>
      <w:r w:rsidRPr="00741C08">
        <w:rPr>
          <w:rFonts w:cstheme="minorHAnsi"/>
          <w:b/>
          <w:sz w:val="20"/>
          <w:szCs w:val="20"/>
          <w:u w:val="single"/>
        </w:rPr>
        <w:t xml:space="preserve"> </w:t>
      </w:r>
      <w:r w:rsidRPr="00741C08">
        <w:rPr>
          <w:rFonts w:cstheme="minorHAnsi"/>
          <w:sz w:val="20"/>
          <w:szCs w:val="20"/>
        </w:rPr>
        <w:t>HES-IDI</w:t>
      </w:r>
      <w:r>
        <w:rPr>
          <w:rFonts w:cstheme="minorHAnsi"/>
          <w:sz w:val="20"/>
          <w:szCs w:val="20"/>
        </w:rPr>
        <w:t>, for the years investigated.</w:t>
      </w:r>
    </w:p>
    <w:p w14:paraId="2D6C7E9E" w14:textId="77777777" w:rsidR="00791752" w:rsidRDefault="00791752" w:rsidP="00791752">
      <w:pPr>
        <w:tabs>
          <w:tab w:val="num" w:pos="450"/>
        </w:tabs>
        <w:spacing w:after="0" w:line="240" w:lineRule="auto"/>
        <w:jc w:val="both"/>
        <w:rPr>
          <w:rFonts w:cstheme="minorHAnsi"/>
          <w:sz w:val="20"/>
          <w:szCs w:val="20"/>
        </w:rPr>
        <w:sectPr w:rsidR="00791752" w:rsidSect="00E67B26">
          <w:footerReference w:type="default" r:id="rId15"/>
          <w:pgSz w:w="11906" w:h="16838"/>
          <w:pgMar w:top="720" w:right="720" w:bottom="720" w:left="720" w:header="720" w:footer="720" w:gutter="0"/>
          <w:cols w:space="720"/>
          <w:docGrid w:linePitch="360"/>
        </w:sectPr>
      </w:pPr>
    </w:p>
    <w:p w14:paraId="36422DB2" w14:textId="77777777" w:rsidR="00791752" w:rsidRDefault="00791752" w:rsidP="00791752">
      <w:pPr>
        <w:tabs>
          <w:tab w:val="num" w:pos="450"/>
        </w:tabs>
        <w:spacing w:after="0" w:line="240" w:lineRule="auto"/>
        <w:jc w:val="both"/>
        <w:rPr>
          <w:rFonts w:cstheme="minorHAnsi"/>
          <w:sz w:val="20"/>
          <w:szCs w:val="20"/>
        </w:rPr>
      </w:pPr>
    </w:p>
    <w:p w14:paraId="23DFC548" w14:textId="77777777" w:rsidR="00791752" w:rsidRDefault="00791752" w:rsidP="00791752">
      <w:pPr>
        <w:tabs>
          <w:tab w:val="num" w:pos="450"/>
        </w:tabs>
        <w:spacing w:after="0" w:line="240" w:lineRule="auto"/>
        <w:jc w:val="both"/>
        <w:rPr>
          <w:rFonts w:cstheme="minorHAnsi"/>
          <w:sz w:val="20"/>
          <w:szCs w:val="20"/>
        </w:rPr>
      </w:pPr>
      <w:r>
        <w:rPr>
          <w:rFonts w:cstheme="minorHAnsi"/>
          <w:sz w:val="20"/>
          <w:szCs w:val="20"/>
        </w:rPr>
        <w:t>Table 1. Correlation coefficients between NZIS and tax data</w:t>
      </w:r>
    </w:p>
    <w:tbl>
      <w:tblPr>
        <w:tblW w:w="5184" w:type="dxa"/>
        <w:tblCellMar>
          <w:left w:w="0" w:type="dxa"/>
          <w:right w:w="0" w:type="dxa"/>
        </w:tblCellMar>
        <w:tblLook w:val="0420" w:firstRow="1" w:lastRow="0" w:firstColumn="0" w:lastColumn="0" w:noHBand="0" w:noVBand="1"/>
      </w:tblPr>
      <w:tblGrid>
        <w:gridCol w:w="1200"/>
        <w:gridCol w:w="1920"/>
        <w:gridCol w:w="2064"/>
      </w:tblGrid>
      <w:tr w:rsidR="00791752" w:rsidRPr="006C3C50" w14:paraId="2A9F222E" w14:textId="77777777" w:rsidTr="00007148">
        <w:trPr>
          <w:trHeight w:val="288"/>
        </w:trPr>
        <w:tc>
          <w:tcPr>
            <w:tcW w:w="1200"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vAlign w:val="center"/>
            <w:hideMark/>
          </w:tcPr>
          <w:p w14:paraId="5AA016CC"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Year</w:t>
            </w:r>
          </w:p>
        </w:tc>
        <w:tc>
          <w:tcPr>
            <w:tcW w:w="1920"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vAlign w:val="center"/>
            <w:hideMark/>
          </w:tcPr>
          <w:p w14:paraId="4A97806D"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Wages &amp; salaries</w:t>
            </w:r>
          </w:p>
        </w:tc>
        <w:tc>
          <w:tcPr>
            <w:tcW w:w="2064"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hideMark/>
          </w:tcPr>
          <w:p w14:paraId="3126BA27" w14:textId="77777777" w:rsidR="00791752" w:rsidRDefault="00791752" w:rsidP="00007148">
            <w:pPr>
              <w:tabs>
                <w:tab w:val="num" w:pos="450"/>
              </w:tabs>
              <w:spacing w:after="0" w:line="240" w:lineRule="auto"/>
              <w:jc w:val="center"/>
              <w:rPr>
                <w:rFonts w:cstheme="minorHAnsi"/>
                <w:b/>
                <w:bCs/>
                <w:sz w:val="20"/>
                <w:szCs w:val="20"/>
              </w:rPr>
            </w:pPr>
            <w:r w:rsidRPr="006C3C50">
              <w:rPr>
                <w:rFonts w:cstheme="minorHAnsi"/>
                <w:b/>
                <w:bCs/>
                <w:sz w:val="20"/>
                <w:szCs w:val="20"/>
              </w:rPr>
              <w:t>Income from</w:t>
            </w:r>
          </w:p>
          <w:p w14:paraId="35C03ADE"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self-employment</w:t>
            </w:r>
          </w:p>
        </w:tc>
      </w:tr>
      <w:tr w:rsidR="00791752" w:rsidRPr="006C3C50" w14:paraId="0CEC8046" w14:textId="77777777" w:rsidTr="00007148">
        <w:trPr>
          <w:trHeight w:val="288"/>
        </w:trPr>
        <w:tc>
          <w:tcPr>
            <w:tcW w:w="1200" w:type="dxa"/>
            <w:tcBorders>
              <w:top w:val="single" w:sz="24" w:space="0" w:color="FFFFFF"/>
              <w:left w:val="single" w:sz="8" w:space="0" w:color="FFFFFF"/>
              <w:bottom w:val="single" w:sz="8" w:space="0" w:color="FFFFFF"/>
              <w:right w:val="single" w:sz="8" w:space="0" w:color="FFFFFF"/>
            </w:tcBorders>
            <w:shd w:val="clear" w:color="auto" w:fill="D1DEE1"/>
            <w:tcMar>
              <w:top w:w="72" w:type="dxa"/>
              <w:left w:w="144" w:type="dxa"/>
              <w:bottom w:w="72" w:type="dxa"/>
              <w:right w:w="144" w:type="dxa"/>
            </w:tcMar>
            <w:hideMark/>
          </w:tcPr>
          <w:p w14:paraId="35EEF5C9"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2013</w:t>
            </w:r>
          </w:p>
        </w:tc>
        <w:tc>
          <w:tcPr>
            <w:tcW w:w="1920" w:type="dxa"/>
            <w:tcBorders>
              <w:top w:val="single" w:sz="24"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2B57E6E7"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0.827</w:t>
            </w:r>
          </w:p>
        </w:tc>
        <w:tc>
          <w:tcPr>
            <w:tcW w:w="2064" w:type="dxa"/>
            <w:tcBorders>
              <w:top w:val="single" w:sz="24"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6641FF50"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0.606</w:t>
            </w:r>
          </w:p>
        </w:tc>
      </w:tr>
      <w:tr w:rsidR="00791752" w:rsidRPr="006C3C50" w14:paraId="5E3747A7" w14:textId="77777777" w:rsidTr="00007148">
        <w:trPr>
          <w:trHeight w:val="288"/>
        </w:trPr>
        <w:tc>
          <w:tcPr>
            <w:tcW w:w="1200" w:type="dxa"/>
            <w:tcBorders>
              <w:top w:val="single" w:sz="8" w:space="0" w:color="FFFFFF"/>
              <w:left w:val="single" w:sz="8" w:space="0" w:color="FFFFFF"/>
              <w:bottom w:val="single" w:sz="8" w:space="0" w:color="FFFFFF"/>
              <w:right w:val="single" w:sz="8" w:space="0" w:color="FFFFFF"/>
            </w:tcBorders>
            <w:shd w:val="clear" w:color="auto" w:fill="EAEFF0"/>
            <w:tcMar>
              <w:top w:w="72" w:type="dxa"/>
              <w:left w:w="144" w:type="dxa"/>
              <w:bottom w:w="72" w:type="dxa"/>
              <w:right w:w="144" w:type="dxa"/>
            </w:tcMar>
            <w:hideMark/>
          </w:tcPr>
          <w:p w14:paraId="6801B998"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2014</w:t>
            </w:r>
          </w:p>
        </w:tc>
        <w:tc>
          <w:tcPr>
            <w:tcW w:w="1920" w:type="dxa"/>
            <w:tcBorders>
              <w:top w:val="single" w:sz="8" w:space="0" w:color="FFFFFF"/>
              <w:left w:val="single" w:sz="8" w:space="0" w:color="FFFFFF"/>
              <w:bottom w:val="single" w:sz="8" w:space="0" w:color="FFFFFF"/>
              <w:right w:val="single" w:sz="8" w:space="0" w:color="FFFFFF"/>
            </w:tcBorders>
            <w:shd w:val="clear" w:color="auto" w:fill="EAEFF0"/>
            <w:tcMar>
              <w:top w:w="15" w:type="dxa"/>
              <w:left w:w="15" w:type="dxa"/>
              <w:bottom w:w="0" w:type="dxa"/>
              <w:right w:w="15" w:type="dxa"/>
            </w:tcMar>
            <w:hideMark/>
          </w:tcPr>
          <w:p w14:paraId="2539F6F4"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0.809</w:t>
            </w:r>
          </w:p>
        </w:tc>
        <w:tc>
          <w:tcPr>
            <w:tcW w:w="2064" w:type="dxa"/>
            <w:tcBorders>
              <w:top w:val="single" w:sz="8" w:space="0" w:color="FFFFFF"/>
              <w:left w:val="single" w:sz="8" w:space="0" w:color="FFFFFF"/>
              <w:bottom w:val="single" w:sz="8" w:space="0" w:color="FFFFFF"/>
              <w:right w:val="single" w:sz="8" w:space="0" w:color="FFFFFF"/>
            </w:tcBorders>
            <w:shd w:val="clear" w:color="auto" w:fill="EAEFF0"/>
            <w:tcMar>
              <w:top w:w="15" w:type="dxa"/>
              <w:left w:w="15" w:type="dxa"/>
              <w:bottom w:w="0" w:type="dxa"/>
              <w:right w:w="15" w:type="dxa"/>
            </w:tcMar>
            <w:hideMark/>
          </w:tcPr>
          <w:p w14:paraId="3BC3B659"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0.617</w:t>
            </w:r>
          </w:p>
        </w:tc>
      </w:tr>
      <w:tr w:rsidR="00791752" w:rsidRPr="006C3C50" w14:paraId="06C5A385" w14:textId="77777777" w:rsidTr="00007148">
        <w:trPr>
          <w:trHeight w:val="288"/>
        </w:trPr>
        <w:tc>
          <w:tcPr>
            <w:tcW w:w="1200" w:type="dxa"/>
            <w:tcBorders>
              <w:top w:val="single" w:sz="8" w:space="0" w:color="FFFFFF"/>
              <w:left w:val="single" w:sz="8" w:space="0" w:color="FFFFFF"/>
              <w:bottom w:val="single" w:sz="8" w:space="0" w:color="FFFFFF"/>
              <w:right w:val="single" w:sz="8" w:space="0" w:color="FFFFFF"/>
            </w:tcBorders>
            <w:shd w:val="clear" w:color="auto" w:fill="D1DEE1"/>
            <w:tcMar>
              <w:top w:w="72" w:type="dxa"/>
              <w:left w:w="144" w:type="dxa"/>
              <w:bottom w:w="72" w:type="dxa"/>
              <w:right w:w="144" w:type="dxa"/>
            </w:tcMar>
            <w:hideMark/>
          </w:tcPr>
          <w:p w14:paraId="09C4AAE9"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2015</w:t>
            </w:r>
          </w:p>
        </w:tc>
        <w:tc>
          <w:tcPr>
            <w:tcW w:w="1920" w:type="dxa"/>
            <w:tcBorders>
              <w:top w:val="single" w:sz="8"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58DD6CEF"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0.828</w:t>
            </w:r>
          </w:p>
        </w:tc>
        <w:tc>
          <w:tcPr>
            <w:tcW w:w="2064" w:type="dxa"/>
            <w:tcBorders>
              <w:top w:val="single" w:sz="8"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41A8E0D2"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0.293</w:t>
            </w:r>
          </w:p>
        </w:tc>
      </w:tr>
    </w:tbl>
    <w:p w14:paraId="671EE6E0" w14:textId="77777777" w:rsidR="00791752" w:rsidRDefault="00791752" w:rsidP="00791752">
      <w:pPr>
        <w:tabs>
          <w:tab w:val="num" w:pos="450"/>
        </w:tabs>
        <w:spacing w:after="0" w:line="240" w:lineRule="auto"/>
        <w:jc w:val="both"/>
        <w:rPr>
          <w:rFonts w:cstheme="minorHAnsi"/>
          <w:sz w:val="20"/>
          <w:szCs w:val="20"/>
        </w:rPr>
      </w:pPr>
    </w:p>
    <w:p w14:paraId="278C1D1B" w14:textId="77777777" w:rsidR="00791752" w:rsidRDefault="00791752" w:rsidP="00791752">
      <w:pPr>
        <w:tabs>
          <w:tab w:val="num" w:pos="450"/>
        </w:tabs>
        <w:spacing w:after="0" w:line="240" w:lineRule="auto"/>
        <w:jc w:val="both"/>
        <w:rPr>
          <w:rFonts w:cstheme="minorHAnsi"/>
          <w:sz w:val="20"/>
          <w:szCs w:val="20"/>
        </w:rPr>
      </w:pPr>
      <w:r>
        <w:rPr>
          <w:rFonts w:cstheme="minorHAnsi"/>
          <w:sz w:val="20"/>
          <w:szCs w:val="20"/>
        </w:rPr>
        <w:t>Table 2. Correlation coefficients between HES and tax data</w:t>
      </w:r>
    </w:p>
    <w:tbl>
      <w:tblPr>
        <w:tblW w:w="5184" w:type="dxa"/>
        <w:tblCellMar>
          <w:left w:w="0" w:type="dxa"/>
          <w:right w:w="0" w:type="dxa"/>
        </w:tblCellMar>
        <w:tblLook w:val="0420" w:firstRow="1" w:lastRow="0" w:firstColumn="0" w:lastColumn="0" w:noHBand="0" w:noVBand="1"/>
      </w:tblPr>
      <w:tblGrid>
        <w:gridCol w:w="1200"/>
        <w:gridCol w:w="1920"/>
        <w:gridCol w:w="2064"/>
      </w:tblGrid>
      <w:tr w:rsidR="00791752" w:rsidRPr="006C3C50" w14:paraId="16AF411C" w14:textId="77777777" w:rsidTr="00007148">
        <w:trPr>
          <w:trHeight w:val="432"/>
        </w:trPr>
        <w:tc>
          <w:tcPr>
            <w:tcW w:w="1200"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vAlign w:val="center"/>
            <w:hideMark/>
          </w:tcPr>
          <w:p w14:paraId="454566B5"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Year</w:t>
            </w:r>
          </w:p>
        </w:tc>
        <w:tc>
          <w:tcPr>
            <w:tcW w:w="1920"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vAlign w:val="center"/>
            <w:hideMark/>
          </w:tcPr>
          <w:p w14:paraId="1281F5B0"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Wages &amp; salaries</w:t>
            </w:r>
          </w:p>
        </w:tc>
        <w:tc>
          <w:tcPr>
            <w:tcW w:w="2064" w:type="dxa"/>
            <w:tcBorders>
              <w:top w:val="single" w:sz="8" w:space="0" w:color="FFFFFF"/>
              <w:left w:val="single" w:sz="8" w:space="0" w:color="FFFFFF"/>
              <w:bottom w:val="single" w:sz="24" w:space="0" w:color="FFFFFF"/>
              <w:right w:val="single" w:sz="8" w:space="0" w:color="FFFFFF"/>
            </w:tcBorders>
            <w:shd w:val="clear" w:color="auto" w:fill="599CA5"/>
            <w:tcMar>
              <w:top w:w="72" w:type="dxa"/>
              <w:left w:w="144" w:type="dxa"/>
              <w:bottom w:w="72" w:type="dxa"/>
              <w:right w:w="144" w:type="dxa"/>
            </w:tcMar>
            <w:hideMark/>
          </w:tcPr>
          <w:p w14:paraId="1EBB22CD" w14:textId="77777777" w:rsidR="00791752" w:rsidRDefault="00791752" w:rsidP="00007148">
            <w:pPr>
              <w:tabs>
                <w:tab w:val="num" w:pos="450"/>
              </w:tabs>
              <w:spacing w:after="0" w:line="240" w:lineRule="auto"/>
              <w:jc w:val="center"/>
              <w:rPr>
                <w:rFonts w:cstheme="minorHAnsi"/>
                <w:b/>
                <w:bCs/>
                <w:sz w:val="20"/>
                <w:szCs w:val="20"/>
              </w:rPr>
            </w:pPr>
            <w:r w:rsidRPr="006C3C50">
              <w:rPr>
                <w:rFonts w:cstheme="minorHAnsi"/>
                <w:b/>
                <w:bCs/>
                <w:sz w:val="20"/>
                <w:szCs w:val="20"/>
              </w:rPr>
              <w:t>Income from</w:t>
            </w:r>
          </w:p>
          <w:p w14:paraId="0C32DF5A"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self-employment</w:t>
            </w:r>
          </w:p>
        </w:tc>
      </w:tr>
      <w:tr w:rsidR="00791752" w:rsidRPr="006C3C50" w14:paraId="0F504442" w14:textId="77777777" w:rsidTr="00007148">
        <w:trPr>
          <w:trHeight w:val="288"/>
        </w:trPr>
        <w:tc>
          <w:tcPr>
            <w:tcW w:w="1200" w:type="dxa"/>
            <w:tcBorders>
              <w:top w:val="single" w:sz="24" w:space="0" w:color="FFFFFF"/>
              <w:left w:val="single" w:sz="8" w:space="0" w:color="FFFFFF"/>
              <w:bottom w:val="single" w:sz="8" w:space="0" w:color="FFFFFF"/>
              <w:right w:val="single" w:sz="8" w:space="0" w:color="FFFFFF"/>
            </w:tcBorders>
            <w:shd w:val="clear" w:color="auto" w:fill="D1DEE1"/>
            <w:tcMar>
              <w:top w:w="72" w:type="dxa"/>
              <w:left w:w="144" w:type="dxa"/>
              <w:bottom w:w="72" w:type="dxa"/>
              <w:right w:w="144" w:type="dxa"/>
            </w:tcMar>
            <w:hideMark/>
          </w:tcPr>
          <w:p w14:paraId="5C61989A"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2013</w:t>
            </w:r>
          </w:p>
        </w:tc>
        <w:tc>
          <w:tcPr>
            <w:tcW w:w="1920" w:type="dxa"/>
            <w:tcBorders>
              <w:top w:val="single" w:sz="24"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27282616"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0.734</w:t>
            </w:r>
          </w:p>
        </w:tc>
        <w:tc>
          <w:tcPr>
            <w:tcW w:w="2064" w:type="dxa"/>
            <w:tcBorders>
              <w:top w:val="single" w:sz="24"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4A49E12C"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0.516</w:t>
            </w:r>
          </w:p>
        </w:tc>
      </w:tr>
      <w:tr w:rsidR="00791752" w:rsidRPr="006C3C50" w14:paraId="5732097E" w14:textId="77777777" w:rsidTr="00007148">
        <w:trPr>
          <w:trHeight w:val="288"/>
        </w:trPr>
        <w:tc>
          <w:tcPr>
            <w:tcW w:w="1200" w:type="dxa"/>
            <w:tcBorders>
              <w:top w:val="single" w:sz="8" w:space="0" w:color="FFFFFF"/>
              <w:left w:val="single" w:sz="8" w:space="0" w:color="FFFFFF"/>
              <w:bottom w:val="single" w:sz="8" w:space="0" w:color="FFFFFF"/>
              <w:right w:val="single" w:sz="8" w:space="0" w:color="FFFFFF"/>
            </w:tcBorders>
            <w:shd w:val="clear" w:color="auto" w:fill="EAEFF0"/>
            <w:tcMar>
              <w:top w:w="72" w:type="dxa"/>
              <w:left w:w="144" w:type="dxa"/>
              <w:bottom w:w="72" w:type="dxa"/>
              <w:right w:w="144" w:type="dxa"/>
            </w:tcMar>
            <w:hideMark/>
          </w:tcPr>
          <w:p w14:paraId="15574157"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2014</w:t>
            </w:r>
          </w:p>
        </w:tc>
        <w:tc>
          <w:tcPr>
            <w:tcW w:w="1920" w:type="dxa"/>
            <w:tcBorders>
              <w:top w:val="single" w:sz="8" w:space="0" w:color="FFFFFF"/>
              <w:left w:val="single" w:sz="8" w:space="0" w:color="FFFFFF"/>
              <w:bottom w:val="single" w:sz="8" w:space="0" w:color="FFFFFF"/>
              <w:right w:val="single" w:sz="8" w:space="0" w:color="FFFFFF"/>
            </w:tcBorders>
            <w:shd w:val="clear" w:color="auto" w:fill="EAEFF0"/>
            <w:tcMar>
              <w:top w:w="15" w:type="dxa"/>
              <w:left w:w="15" w:type="dxa"/>
              <w:bottom w:w="0" w:type="dxa"/>
              <w:right w:w="15" w:type="dxa"/>
            </w:tcMar>
            <w:hideMark/>
          </w:tcPr>
          <w:p w14:paraId="4F726445"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0.732</w:t>
            </w:r>
          </w:p>
        </w:tc>
        <w:tc>
          <w:tcPr>
            <w:tcW w:w="2064" w:type="dxa"/>
            <w:tcBorders>
              <w:top w:val="single" w:sz="8" w:space="0" w:color="FFFFFF"/>
              <w:left w:val="single" w:sz="8" w:space="0" w:color="FFFFFF"/>
              <w:bottom w:val="single" w:sz="8" w:space="0" w:color="FFFFFF"/>
              <w:right w:val="single" w:sz="8" w:space="0" w:color="FFFFFF"/>
            </w:tcBorders>
            <w:shd w:val="clear" w:color="auto" w:fill="EAEFF0"/>
            <w:tcMar>
              <w:top w:w="15" w:type="dxa"/>
              <w:left w:w="15" w:type="dxa"/>
              <w:bottom w:w="0" w:type="dxa"/>
              <w:right w:w="15" w:type="dxa"/>
            </w:tcMar>
            <w:hideMark/>
          </w:tcPr>
          <w:p w14:paraId="727D97B6"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0.55</w:t>
            </w:r>
          </w:p>
        </w:tc>
      </w:tr>
      <w:tr w:rsidR="00791752" w:rsidRPr="006C3C50" w14:paraId="466A4981" w14:textId="77777777" w:rsidTr="00007148">
        <w:trPr>
          <w:trHeight w:val="288"/>
        </w:trPr>
        <w:tc>
          <w:tcPr>
            <w:tcW w:w="1200" w:type="dxa"/>
            <w:tcBorders>
              <w:top w:val="single" w:sz="8" w:space="0" w:color="FFFFFF"/>
              <w:left w:val="single" w:sz="8" w:space="0" w:color="FFFFFF"/>
              <w:bottom w:val="single" w:sz="8" w:space="0" w:color="FFFFFF"/>
              <w:right w:val="single" w:sz="8" w:space="0" w:color="FFFFFF"/>
            </w:tcBorders>
            <w:shd w:val="clear" w:color="auto" w:fill="D1DEE1"/>
            <w:tcMar>
              <w:top w:w="72" w:type="dxa"/>
              <w:left w:w="144" w:type="dxa"/>
              <w:bottom w:w="72" w:type="dxa"/>
              <w:right w:w="144" w:type="dxa"/>
            </w:tcMar>
            <w:hideMark/>
          </w:tcPr>
          <w:p w14:paraId="35A301AA"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2015</w:t>
            </w:r>
          </w:p>
        </w:tc>
        <w:tc>
          <w:tcPr>
            <w:tcW w:w="1920" w:type="dxa"/>
            <w:tcBorders>
              <w:top w:val="single" w:sz="8"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498396E5"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0.762</w:t>
            </w:r>
          </w:p>
        </w:tc>
        <w:tc>
          <w:tcPr>
            <w:tcW w:w="2064" w:type="dxa"/>
            <w:tcBorders>
              <w:top w:val="single" w:sz="8" w:space="0" w:color="FFFFFF"/>
              <w:left w:val="single" w:sz="8" w:space="0" w:color="FFFFFF"/>
              <w:bottom w:val="single" w:sz="8" w:space="0" w:color="FFFFFF"/>
              <w:right w:val="single" w:sz="8" w:space="0" w:color="FFFFFF"/>
            </w:tcBorders>
            <w:shd w:val="clear" w:color="auto" w:fill="D1DEE1"/>
            <w:tcMar>
              <w:top w:w="15" w:type="dxa"/>
              <w:left w:w="15" w:type="dxa"/>
              <w:bottom w:w="0" w:type="dxa"/>
              <w:right w:w="15" w:type="dxa"/>
            </w:tcMar>
            <w:hideMark/>
          </w:tcPr>
          <w:p w14:paraId="5840BB9D" w14:textId="77777777" w:rsidR="00791752" w:rsidRPr="006C3C50" w:rsidRDefault="00791752" w:rsidP="00007148">
            <w:pPr>
              <w:tabs>
                <w:tab w:val="num" w:pos="450"/>
              </w:tabs>
              <w:spacing w:after="0" w:line="240" w:lineRule="auto"/>
              <w:jc w:val="center"/>
              <w:rPr>
                <w:rFonts w:cstheme="minorHAnsi"/>
                <w:sz w:val="20"/>
                <w:szCs w:val="20"/>
              </w:rPr>
            </w:pPr>
            <w:r w:rsidRPr="006C3C50">
              <w:rPr>
                <w:rFonts w:cstheme="minorHAnsi"/>
                <w:b/>
                <w:bCs/>
                <w:sz w:val="20"/>
                <w:szCs w:val="20"/>
              </w:rPr>
              <w:t>0.393</w:t>
            </w:r>
          </w:p>
        </w:tc>
      </w:tr>
    </w:tbl>
    <w:p w14:paraId="7692C109" w14:textId="77777777" w:rsidR="00791752" w:rsidRDefault="00791752" w:rsidP="00343DE9">
      <w:pPr>
        <w:spacing w:line="240" w:lineRule="auto"/>
        <w:jc w:val="both"/>
        <w:rPr>
          <w:rFonts w:cstheme="minorHAnsi"/>
          <w:sz w:val="20"/>
          <w:szCs w:val="20"/>
        </w:rPr>
        <w:sectPr w:rsidR="00791752" w:rsidSect="00791752">
          <w:type w:val="continuous"/>
          <w:pgSz w:w="11906" w:h="16838"/>
          <w:pgMar w:top="720" w:right="720" w:bottom="720" w:left="720" w:header="720" w:footer="720" w:gutter="0"/>
          <w:cols w:num="2" w:space="720"/>
          <w:docGrid w:linePitch="360"/>
        </w:sectPr>
      </w:pPr>
    </w:p>
    <w:p w14:paraId="77047B0A" w14:textId="77777777" w:rsidR="00791752" w:rsidRPr="00791752" w:rsidRDefault="00791752" w:rsidP="00791752">
      <w:pPr>
        <w:pStyle w:val="Heading3"/>
        <w:spacing w:after="0" w:afterAutospacing="0"/>
        <w:rPr>
          <w:rFonts w:asciiTheme="minorHAnsi" w:hAnsiTheme="minorHAnsi" w:cstheme="minorHAnsi"/>
          <w:b w:val="0"/>
          <w:color w:val="008080"/>
          <w:sz w:val="24"/>
          <w:szCs w:val="24"/>
        </w:rPr>
      </w:pPr>
      <w:r w:rsidRPr="00791752">
        <w:rPr>
          <w:rFonts w:asciiTheme="minorHAnsi" w:hAnsiTheme="minorHAnsi" w:cstheme="minorHAnsi"/>
          <w:color w:val="008080"/>
          <w:sz w:val="24"/>
          <w:szCs w:val="24"/>
        </w:rPr>
        <w:t>NZIS and NZIS-IDI wage earnings distributions</w:t>
      </w:r>
    </w:p>
    <w:p w14:paraId="01F129BE" w14:textId="77777777" w:rsidR="00791752" w:rsidRPr="00791752" w:rsidRDefault="00791752" w:rsidP="00791752">
      <w:pPr>
        <w:pStyle w:val="Heading4"/>
        <w:spacing w:before="0"/>
        <w:rPr>
          <w:i w:val="0"/>
          <w:color w:val="008080"/>
        </w:rPr>
      </w:pPr>
      <w:r w:rsidRPr="00791752">
        <w:rPr>
          <w:i w:val="0"/>
          <w:color w:val="008080"/>
        </w:rPr>
        <w:t>Wages and salaries</w:t>
      </w:r>
    </w:p>
    <w:p w14:paraId="1BDB2249" w14:textId="77777777" w:rsidR="00791752" w:rsidRDefault="00791752" w:rsidP="00BC0498">
      <w:pPr>
        <w:spacing w:line="240" w:lineRule="auto"/>
        <w:jc w:val="both"/>
      </w:pPr>
      <w:r>
        <w:t>Figures 1, 2 and 3 illustrate the distribution of wages and salaries, by age group, for the unlinked NZIS data, tax data and linked NZIS-IDI dataset.</w:t>
      </w:r>
    </w:p>
    <w:p w14:paraId="40BF1035" w14:textId="77777777" w:rsidR="00791752" w:rsidRDefault="00791752" w:rsidP="00BC0498">
      <w:pPr>
        <w:spacing w:after="0" w:line="240" w:lineRule="auto"/>
        <w:rPr>
          <w:sz w:val="20"/>
          <w:szCs w:val="20"/>
        </w:rPr>
        <w:sectPr w:rsidR="00791752" w:rsidSect="00791752">
          <w:type w:val="continuous"/>
          <w:pgSz w:w="11906" w:h="16838"/>
          <w:pgMar w:top="720" w:right="720" w:bottom="720" w:left="720" w:header="720" w:footer="720" w:gutter="0"/>
          <w:cols w:space="720"/>
          <w:docGrid w:linePitch="360"/>
        </w:sectPr>
      </w:pPr>
    </w:p>
    <w:p w14:paraId="7CDD88E2" w14:textId="77777777" w:rsidR="00791752" w:rsidRPr="00791752" w:rsidRDefault="00791752" w:rsidP="00BC0498">
      <w:pPr>
        <w:spacing w:after="0" w:line="240" w:lineRule="auto"/>
      </w:pPr>
      <w:r w:rsidRPr="00791752">
        <w:t>Figure 1. 2013 distribution of wages and salaries by age group</w:t>
      </w:r>
    </w:p>
    <w:p w14:paraId="59D938D1" w14:textId="77777777" w:rsidR="00791752" w:rsidRPr="00AF457F" w:rsidRDefault="00791752" w:rsidP="00791752">
      <w:pPr>
        <w:spacing w:after="0" w:line="240" w:lineRule="auto"/>
        <w:jc w:val="both"/>
        <w:rPr>
          <w:rStyle w:val="Strong"/>
          <w:rFonts w:cstheme="minorHAnsi"/>
          <w:i/>
          <w:color w:val="2E74B5"/>
          <w:sz w:val="20"/>
          <w:szCs w:val="20"/>
        </w:rPr>
      </w:pPr>
      <w:r w:rsidRPr="00AF457F">
        <w:rPr>
          <w:rFonts w:cstheme="minorHAnsi"/>
          <w:b/>
          <w:bCs/>
          <w:i/>
          <w:noProof/>
          <w:color w:val="2E74B5"/>
          <w:sz w:val="20"/>
          <w:szCs w:val="20"/>
          <w:lang w:val="en-AU" w:eastAsia="en-AU"/>
        </w:rPr>
        <w:drawing>
          <wp:anchor distT="0" distB="0" distL="114300" distR="114300" simplePos="0" relativeHeight="251659264" behindDoc="0" locked="0" layoutInCell="1" allowOverlap="1" wp14:anchorId="4418767A" wp14:editId="7985F0F2">
            <wp:simplePos x="0" y="0"/>
            <wp:positionH relativeFrom="column">
              <wp:posOffset>-3570</wp:posOffset>
            </wp:positionH>
            <wp:positionV relativeFrom="paragraph">
              <wp:posOffset>109890</wp:posOffset>
            </wp:positionV>
            <wp:extent cx="3096883" cy="1690777"/>
            <wp:effectExtent l="0" t="0" r="8890" b="5080"/>
            <wp:wrapNone/>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6"/>
                    <a:stretch>
                      <a:fillRect/>
                    </a:stretch>
                  </pic:blipFill>
                  <pic:spPr>
                    <a:xfrm>
                      <a:off x="0" y="0"/>
                      <a:ext cx="3100527" cy="1692766"/>
                    </a:xfrm>
                    <a:prstGeom prst="rect">
                      <a:avLst/>
                    </a:prstGeom>
                  </pic:spPr>
                </pic:pic>
              </a:graphicData>
            </a:graphic>
            <wp14:sizeRelH relativeFrom="margin">
              <wp14:pctWidth>0</wp14:pctWidth>
            </wp14:sizeRelH>
            <wp14:sizeRelV relativeFrom="margin">
              <wp14:pctHeight>0</wp14:pctHeight>
            </wp14:sizeRelV>
          </wp:anchor>
        </w:drawing>
      </w:r>
    </w:p>
    <w:p w14:paraId="7D65875C" w14:textId="77777777" w:rsidR="00791752" w:rsidRPr="00AF457F" w:rsidRDefault="00791752" w:rsidP="00791752">
      <w:pPr>
        <w:spacing w:after="0" w:line="240" w:lineRule="auto"/>
        <w:jc w:val="both"/>
        <w:rPr>
          <w:rStyle w:val="Strong"/>
          <w:rFonts w:cstheme="minorHAnsi"/>
          <w:i/>
          <w:color w:val="2E74B5"/>
          <w:sz w:val="20"/>
          <w:szCs w:val="20"/>
        </w:rPr>
      </w:pPr>
    </w:p>
    <w:p w14:paraId="3B06C1AB" w14:textId="77777777" w:rsidR="00791752" w:rsidRPr="00AF457F" w:rsidRDefault="00791752" w:rsidP="00791752">
      <w:pPr>
        <w:spacing w:after="0" w:line="240" w:lineRule="auto"/>
        <w:jc w:val="both"/>
        <w:rPr>
          <w:rStyle w:val="Strong"/>
          <w:rFonts w:cstheme="minorHAnsi"/>
          <w:i/>
          <w:color w:val="2E74B5"/>
          <w:sz w:val="20"/>
          <w:szCs w:val="20"/>
        </w:rPr>
      </w:pPr>
    </w:p>
    <w:p w14:paraId="0D4090AB" w14:textId="77777777" w:rsidR="00791752" w:rsidRPr="00AF457F" w:rsidRDefault="00791752" w:rsidP="00791752">
      <w:pPr>
        <w:spacing w:after="0" w:line="240" w:lineRule="auto"/>
        <w:jc w:val="both"/>
        <w:rPr>
          <w:rStyle w:val="Strong"/>
          <w:rFonts w:cstheme="minorHAnsi"/>
          <w:i/>
          <w:color w:val="2E74B5"/>
          <w:sz w:val="20"/>
          <w:szCs w:val="20"/>
        </w:rPr>
      </w:pPr>
    </w:p>
    <w:p w14:paraId="00FAB7E8" w14:textId="77777777" w:rsidR="00791752" w:rsidRPr="00AF457F" w:rsidRDefault="00791752" w:rsidP="00791752">
      <w:pPr>
        <w:spacing w:after="0" w:line="240" w:lineRule="auto"/>
        <w:jc w:val="both"/>
        <w:rPr>
          <w:rStyle w:val="Strong"/>
          <w:rFonts w:cstheme="minorHAnsi"/>
          <w:i/>
          <w:color w:val="2E74B5"/>
          <w:sz w:val="20"/>
          <w:szCs w:val="20"/>
        </w:rPr>
      </w:pPr>
    </w:p>
    <w:p w14:paraId="2D6DF335" w14:textId="77777777" w:rsidR="00791752" w:rsidRPr="00AF457F" w:rsidRDefault="00791752" w:rsidP="00791752">
      <w:pPr>
        <w:spacing w:after="0" w:line="240" w:lineRule="auto"/>
        <w:jc w:val="both"/>
        <w:rPr>
          <w:rStyle w:val="Strong"/>
          <w:rFonts w:cstheme="minorHAnsi"/>
          <w:i/>
          <w:color w:val="2E74B5"/>
          <w:sz w:val="20"/>
          <w:szCs w:val="20"/>
        </w:rPr>
      </w:pPr>
    </w:p>
    <w:p w14:paraId="6E180D5F" w14:textId="77777777" w:rsidR="00791752" w:rsidRPr="00AF457F" w:rsidRDefault="00791752" w:rsidP="00791752">
      <w:pPr>
        <w:spacing w:after="0" w:line="240" w:lineRule="auto"/>
        <w:jc w:val="both"/>
        <w:rPr>
          <w:rStyle w:val="Strong"/>
          <w:rFonts w:cstheme="minorHAnsi"/>
          <w:i/>
          <w:color w:val="2E74B5"/>
          <w:sz w:val="20"/>
          <w:szCs w:val="20"/>
        </w:rPr>
      </w:pPr>
    </w:p>
    <w:p w14:paraId="2BC5E80B" w14:textId="77777777" w:rsidR="00791752" w:rsidRPr="00AF457F" w:rsidRDefault="00791752" w:rsidP="00791752">
      <w:pPr>
        <w:spacing w:after="0" w:line="240" w:lineRule="auto"/>
        <w:jc w:val="both"/>
        <w:rPr>
          <w:rStyle w:val="Strong"/>
          <w:rFonts w:cstheme="minorHAnsi"/>
          <w:i/>
          <w:color w:val="2E74B5"/>
          <w:sz w:val="20"/>
          <w:szCs w:val="20"/>
        </w:rPr>
      </w:pPr>
    </w:p>
    <w:p w14:paraId="6263A6DD" w14:textId="77777777" w:rsidR="00791752" w:rsidRPr="00AF457F" w:rsidRDefault="00791752" w:rsidP="00791752">
      <w:pPr>
        <w:spacing w:after="0" w:line="240" w:lineRule="auto"/>
        <w:jc w:val="both"/>
        <w:rPr>
          <w:rStyle w:val="Strong"/>
          <w:rFonts w:cstheme="minorHAnsi"/>
          <w:i/>
          <w:color w:val="2E74B5"/>
          <w:sz w:val="20"/>
          <w:szCs w:val="20"/>
        </w:rPr>
      </w:pPr>
    </w:p>
    <w:p w14:paraId="24056752" w14:textId="77777777" w:rsidR="00791752" w:rsidRPr="00AF457F" w:rsidRDefault="00791752" w:rsidP="00791752">
      <w:pPr>
        <w:spacing w:after="0" w:line="240" w:lineRule="auto"/>
        <w:jc w:val="both"/>
        <w:rPr>
          <w:rStyle w:val="Strong"/>
          <w:rFonts w:cstheme="minorHAnsi"/>
          <w:i/>
          <w:color w:val="2E74B5"/>
          <w:sz w:val="20"/>
          <w:szCs w:val="20"/>
        </w:rPr>
      </w:pPr>
    </w:p>
    <w:p w14:paraId="7E597201" w14:textId="77777777" w:rsidR="00791752" w:rsidRPr="00AF457F" w:rsidRDefault="00791752" w:rsidP="00791752">
      <w:pPr>
        <w:spacing w:after="0" w:line="240" w:lineRule="auto"/>
        <w:jc w:val="both"/>
        <w:rPr>
          <w:rStyle w:val="Strong"/>
          <w:rFonts w:cstheme="minorHAnsi"/>
          <w:i/>
          <w:color w:val="2E74B5"/>
          <w:sz w:val="20"/>
          <w:szCs w:val="20"/>
        </w:rPr>
      </w:pPr>
    </w:p>
    <w:p w14:paraId="48777990" w14:textId="77777777" w:rsidR="00791752" w:rsidRPr="00791752" w:rsidRDefault="00791752" w:rsidP="00BC0498">
      <w:pPr>
        <w:spacing w:after="0" w:line="240" w:lineRule="auto"/>
      </w:pPr>
      <w:r w:rsidRPr="00791752">
        <w:t>Figure 2. 2014 distribution of wages and salaries by age group</w:t>
      </w:r>
    </w:p>
    <w:p w14:paraId="2A7F640D" w14:textId="77777777" w:rsidR="00791752" w:rsidRPr="00AF457F" w:rsidRDefault="00B15747" w:rsidP="00791752">
      <w:pPr>
        <w:spacing w:after="0" w:line="240" w:lineRule="auto"/>
        <w:jc w:val="both"/>
        <w:rPr>
          <w:rStyle w:val="Strong"/>
          <w:rFonts w:cstheme="minorHAnsi"/>
          <w:i/>
          <w:color w:val="2E74B5"/>
          <w:sz w:val="20"/>
          <w:szCs w:val="20"/>
        </w:rPr>
      </w:pPr>
      <w:r w:rsidRPr="00AF457F">
        <w:rPr>
          <w:rFonts w:cstheme="minorHAnsi"/>
          <w:b/>
          <w:bCs/>
          <w:i/>
          <w:noProof/>
          <w:color w:val="2E74B5"/>
          <w:sz w:val="20"/>
          <w:szCs w:val="20"/>
          <w:lang w:val="en-AU" w:eastAsia="en-AU"/>
        </w:rPr>
        <w:drawing>
          <wp:anchor distT="0" distB="0" distL="114300" distR="114300" simplePos="0" relativeHeight="251661312" behindDoc="0" locked="0" layoutInCell="1" allowOverlap="1" wp14:anchorId="227970D2" wp14:editId="27E9FA56">
            <wp:simplePos x="0" y="0"/>
            <wp:positionH relativeFrom="margin">
              <wp:align>right</wp:align>
            </wp:positionH>
            <wp:positionV relativeFrom="paragraph">
              <wp:posOffset>8862</wp:posOffset>
            </wp:positionV>
            <wp:extent cx="3096873" cy="1768415"/>
            <wp:effectExtent l="0" t="0" r="8890" b="381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17"/>
                    <a:stretch>
                      <a:fillRect/>
                    </a:stretch>
                  </pic:blipFill>
                  <pic:spPr>
                    <a:xfrm>
                      <a:off x="0" y="0"/>
                      <a:ext cx="3096873" cy="1768415"/>
                    </a:xfrm>
                    <a:prstGeom prst="rect">
                      <a:avLst/>
                    </a:prstGeom>
                  </pic:spPr>
                </pic:pic>
              </a:graphicData>
            </a:graphic>
            <wp14:sizeRelH relativeFrom="margin">
              <wp14:pctWidth>0</wp14:pctWidth>
            </wp14:sizeRelH>
            <wp14:sizeRelV relativeFrom="margin">
              <wp14:pctHeight>0</wp14:pctHeight>
            </wp14:sizeRelV>
          </wp:anchor>
        </w:drawing>
      </w:r>
    </w:p>
    <w:p w14:paraId="742E1F49" w14:textId="77777777" w:rsidR="00B15747" w:rsidRDefault="00B15747" w:rsidP="00BC0498">
      <w:pPr>
        <w:spacing w:after="0" w:line="240" w:lineRule="auto"/>
        <w:jc w:val="both"/>
        <w:rPr>
          <w:rStyle w:val="Strong"/>
          <w:rFonts w:cstheme="minorHAnsi"/>
          <w:b w:val="0"/>
        </w:rPr>
      </w:pPr>
    </w:p>
    <w:p w14:paraId="2873282F" w14:textId="77777777" w:rsidR="00B15747" w:rsidRDefault="00B15747" w:rsidP="00BC0498">
      <w:pPr>
        <w:spacing w:after="0" w:line="240" w:lineRule="auto"/>
        <w:jc w:val="both"/>
        <w:rPr>
          <w:rStyle w:val="Strong"/>
          <w:rFonts w:cstheme="minorHAnsi"/>
          <w:b w:val="0"/>
        </w:rPr>
      </w:pPr>
    </w:p>
    <w:p w14:paraId="64D965DE" w14:textId="77777777" w:rsidR="00B15747" w:rsidRDefault="00B15747" w:rsidP="00BC0498">
      <w:pPr>
        <w:spacing w:after="0" w:line="240" w:lineRule="auto"/>
        <w:jc w:val="both"/>
        <w:rPr>
          <w:rStyle w:val="Strong"/>
          <w:rFonts w:cstheme="minorHAnsi"/>
          <w:b w:val="0"/>
        </w:rPr>
      </w:pPr>
    </w:p>
    <w:p w14:paraId="0325EAD7" w14:textId="77777777" w:rsidR="00B15747" w:rsidRDefault="00B15747" w:rsidP="00BC0498">
      <w:pPr>
        <w:spacing w:after="0" w:line="240" w:lineRule="auto"/>
        <w:jc w:val="both"/>
        <w:rPr>
          <w:rStyle w:val="Strong"/>
          <w:rFonts w:cstheme="minorHAnsi"/>
          <w:b w:val="0"/>
        </w:rPr>
      </w:pPr>
    </w:p>
    <w:p w14:paraId="60AEF0E0" w14:textId="77777777" w:rsidR="00B15747" w:rsidRDefault="00B15747" w:rsidP="00BC0498">
      <w:pPr>
        <w:spacing w:after="0" w:line="240" w:lineRule="auto"/>
        <w:jc w:val="both"/>
        <w:rPr>
          <w:rStyle w:val="Strong"/>
          <w:rFonts w:cstheme="minorHAnsi"/>
          <w:b w:val="0"/>
        </w:rPr>
      </w:pPr>
    </w:p>
    <w:p w14:paraId="325BB91D" w14:textId="77777777" w:rsidR="00B15747" w:rsidRDefault="00B15747" w:rsidP="00BC0498">
      <w:pPr>
        <w:spacing w:after="0" w:line="240" w:lineRule="auto"/>
        <w:jc w:val="both"/>
        <w:rPr>
          <w:rStyle w:val="Strong"/>
          <w:rFonts w:cstheme="minorHAnsi"/>
          <w:b w:val="0"/>
        </w:rPr>
      </w:pPr>
    </w:p>
    <w:p w14:paraId="03D9620F" w14:textId="77777777" w:rsidR="00B15747" w:rsidRDefault="00B15747" w:rsidP="00BC0498">
      <w:pPr>
        <w:spacing w:after="0" w:line="240" w:lineRule="auto"/>
        <w:jc w:val="both"/>
        <w:rPr>
          <w:rStyle w:val="Strong"/>
          <w:rFonts w:cstheme="minorHAnsi"/>
          <w:b w:val="0"/>
        </w:rPr>
      </w:pPr>
    </w:p>
    <w:p w14:paraId="459388BB" w14:textId="77777777" w:rsidR="00B15747" w:rsidRDefault="00B15747" w:rsidP="00BC0498">
      <w:pPr>
        <w:spacing w:after="0" w:line="240" w:lineRule="auto"/>
        <w:jc w:val="both"/>
        <w:rPr>
          <w:rStyle w:val="Strong"/>
          <w:rFonts w:cstheme="minorHAnsi"/>
          <w:b w:val="0"/>
        </w:rPr>
      </w:pPr>
    </w:p>
    <w:p w14:paraId="47F13903" w14:textId="77777777" w:rsidR="00791752" w:rsidRDefault="00791752" w:rsidP="00BC0498">
      <w:pPr>
        <w:spacing w:after="0" w:line="240" w:lineRule="auto"/>
        <w:jc w:val="both"/>
        <w:rPr>
          <w:rStyle w:val="Strong"/>
          <w:rFonts w:cstheme="minorHAnsi"/>
          <w:b w:val="0"/>
        </w:rPr>
      </w:pPr>
      <w:r w:rsidRPr="00791752">
        <w:rPr>
          <w:rStyle w:val="Strong"/>
          <w:rFonts w:cstheme="minorHAnsi"/>
          <w:b w:val="0"/>
        </w:rPr>
        <w:lastRenderedPageBreak/>
        <w:t>Figure 3. 2015 distribution of wages and salaries by age group</w:t>
      </w:r>
    </w:p>
    <w:p w14:paraId="0C250215" w14:textId="77777777" w:rsidR="00B15747" w:rsidRDefault="00B15747" w:rsidP="00BC0498">
      <w:pPr>
        <w:spacing w:after="0" w:line="240" w:lineRule="auto"/>
        <w:jc w:val="both"/>
        <w:rPr>
          <w:rStyle w:val="Strong"/>
          <w:rFonts w:cstheme="minorHAnsi"/>
          <w:b w:val="0"/>
        </w:rPr>
      </w:pPr>
    </w:p>
    <w:p w14:paraId="02CD98E1" w14:textId="77777777" w:rsidR="00B15747" w:rsidRDefault="00B15747" w:rsidP="00BC0498">
      <w:pPr>
        <w:spacing w:after="0" w:line="240" w:lineRule="auto"/>
        <w:jc w:val="both"/>
        <w:rPr>
          <w:rStyle w:val="Strong"/>
          <w:rFonts w:cstheme="minorHAnsi"/>
          <w:b w:val="0"/>
        </w:rPr>
      </w:pPr>
      <w:r w:rsidRPr="00AF457F">
        <w:rPr>
          <w:rFonts w:cstheme="minorHAnsi"/>
          <w:b/>
          <w:bCs/>
          <w:i/>
          <w:noProof/>
          <w:color w:val="2E74B5"/>
          <w:sz w:val="20"/>
          <w:szCs w:val="20"/>
          <w:lang w:val="en-AU" w:eastAsia="en-AU"/>
        </w:rPr>
        <w:drawing>
          <wp:anchor distT="0" distB="0" distL="114300" distR="114300" simplePos="0" relativeHeight="251660288" behindDoc="0" locked="0" layoutInCell="1" allowOverlap="1" wp14:anchorId="56358B1C" wp14:editId="5F269127">
            <wp:simplePos x="0" y="0"/>
            <wp:positionH relativeFrom="column">
              <wp:align>right</wp:align>
            </wp:positionH>
            <wp:positionV relativeFrom="paragraph">
              <wp:posOffset>7731</wp:posOffset>
            </wp:positionV>
            <wp:extent cx="3052445" cy="1837055"/>
            <wp:effectExtent l="0" t="0" r="0" b="0"/>
            <wp:wrapNone/>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18"/>
                    <a:stretch>
                      <a:fillRect/>
                    </a:stretch>
                  </pic:blipFill>
                  <pic:spPr>
                    <a:xfrm>
                      <a:off x="0" y="0"/>
                      <a:ext cx="3052445" cy="1837055"/>
                    </a:xfrm>
                    <a:prstGeom prst="rect">
                      <a:avLst/>
                    </a:prstGeom>
                  </pic:spPr>
                </pic:pic>
              </a:graphicData>
            </a:graphic>
            <wp14:sizeRelH relativeFrom="margin">
              <wp14:pctWidth>0</wp14:pctWidth>
            </wp14:sizeRelH>
            <wp14:sizeRelV relativeFrom="margin">
              <wp14:pctHeight>0</wp14:pctHeight>
            </wp14:sizeRelV>
          </wp:anchor>
        </w:drawing>
      </w:r>
    </w:p>
    <w:p w14:paraId="246E9A86" w14:textId="77777777" w:rsidR="00B15747" w:rsidRDefault="00B15747" w:rsidP="00BC0498">
      <w:pPr>
        <w:spacing w:after="0" w:line="240" w:lineRule="auto"/>
        <w:jc w:val="both"/>
        <w:rPr>
          <w:rStyle w:val="Strong"/>
          <w:rFonts w:cstheme="minorHAnsi"/>
          <w:b w:val="0"/>
        </w:rPr>
      </w:pPr>
    </w:p>
    <w:p w14:paraId="422AD5A8" w14:textId="77777777" w:rsidR="00B15747" w:rsidRDefault="00B15747" w:rsidP="00BC0498">
      <w:pPr>
        <w:spacing w:after="0" w:line="240" w:lineRule="auto"/>
        <w:jc w:val="both"/>
        <w:rPr>
          <w:rStyle w:val="Strong"/>
          <w:rFonts w:cstheme="minorHAnsi"/>
          <w:b w:val="0"/>
        </w:rPr>
      </w:pPr>
    </w:p>
    <w:p w14:paraId="005369BF" w14:textId="77777777" w:rsidR="00B15747" w:rsidRDefault="00B15747" w:rsidP="00BC0498">
      <w:pPr>
        <w:spacing w:after="0" w:line="240" w:lineRule="auto"/>
        <w:jc w:val="both"/>
        <w:rPr>
          <w:rStyle w:val="Strong"/>
          <w:rFonts w:cstheme="minorHAnsi"/>
          <w:b w:val="0"/>
        </w:rPr>
      </w:pPr>
    </w:p>
    <w:p w14:paraId="1B0C8474" w14:textId="77777777" w:rsidR="00B15747" w:rsidRDefault="00B15747" w:rsidP="00BC0498">
      <w:pPr>
        <w:spacing w:after="0" w:line="240" w:lineRule="auto"/>
        <w:jc w:val="both"/>
        <w:rPr>
          <w:rStyle w:val="Strong"/>
          <w:rFonts w:cstheme="minorHAnsi"/>
          <w:b w:val="0"/>
        </w:rPr>
      </w:pPr>
    </w:p>
    <w:p w14:paraId="4A42153B" w14:textId="77777777" w:rsidR="00B15747" w:rsidRDefault="00B15747" w:rsidP="00BC0498">
      <w:pPr>
        <w:spacing w:after="0" w:line="240" w:lineRule="auto"/>
        <w:jc w:val="both"/>
        <w:rPr>
          <w:rStyle w:val="Strong"/>
          <w:rFonts w:cstheme="minorHAnsi"/>
          <w:b w:val="0"/>
        </w:rPr>
      </w:pPr>
    </w:p>
    <w:p w14:paraId="64355E69" w14:textId="77777777" w:rsidR="00B15747" w:rsidRPr="00791752" w:rsidRDefault="00B15747" w:rsidP="00BC0498">
      <w:pPr>
        <w:spacing w:after="0" w:line="240" w:lineRule="auto"/>
        <w:jc w:val="both"/>
        <w:rPr>
          <w:rStyle w:val="Strong"/>
          <w:rFonts w:cstheme="minorHAnsi"/>
          <w:b w:val="0"/>
        </w:rPr>
      </w:pPr>
    </w:p>
    <w:p w14:paraId="6E73C426" w14:textId="77777777" w:rsidR="00791752" w:rsidRPr="00AF457F" w:rsidRDefault="00791752" w:rsidP="00791752">
      <w:pPr>
        <w:spacing w:before="240" w:after="0"/>
        <w:rPr>
          <w:rStyle w:val="Strong"/>
          <w:rFonts w:cstheme="minorHAnsi"/>
          <w:i/>
          <w:color w:val="2E74B5"/>
          <w:sz w:val="20"/>
          <w:szCs w:val="20"/>
        </w:rPr>
      </w:pPr>
    </w:p>
    <w:p w14:paraId="6A38D61F" w14:textId="77777777" w:rsidR="00791752" w:rsidRPr="00AF457F" w:rsidRDefault="00791752" w:rsidP="00791752">
      <w:pPr>
        <w:spacing w:after="0" w:line="240" w:lineRule="auto"/>
        <w:jc w:val="both"/>
        <w:rPr>
          <w:rStyle w:val="Strong"/>
          <w:rFonts w:cstheme="minorHAnsi"/>
          <w:i/>
          <w:color w:val="2E74B5"/>
          <w:sz w:val="20"/>
          <w:szCs w:val="20"/>
        </w:rPr>
      </w:pPr>
    </w:p>
    <w:p w14:paraId="217B47E5" w14:textId="77777777" w:rsidR="00791752" w:rsidRPr="00AF457F" w:rsidRDefault="00791752" w:rsidP="00791752">
      <w:pPr>
        <w:spacing w:after="0" w:line="240" w:lineRule="auto"/>
        <w:jc w:val="both"/>
        <w:rPr>
          <w:rStyle w:val="Strong"/>
          <w:rFonts w:cstheme="minorHAnsi"/>
          <w:i/>
          <w:color w:val="2E74B5"/>
          <w:sz w:val="20"/>
          <w:szCs w:val="20"/>
        </w:rPr>
      </w:pPr>
    </w:p>
    <w:p w14:paraId="1181CD7F" w14:textId="77777777" w:rsidR="00791752" w:rsidRPr="00AF457F" w:rsidRDefault="00791752" w:rsidP="00791752">
      <w:pPr>
        <w:spacing w:after="0" w:line="240" w:lineRule="auto"/>
        <w:jc w:val="both"/>
        <w:rPr>
          <w:rStyle w:val="Strong"/>
          <w:rFonts w:cstheme="minorHAnsi"/>
          <w:i/>
          <w:color w:val="2E74B5"/>
          <w:sz w:val="20"/>
          <w:szCs w:val="20"/>
        </w:rPr>
      </w:pPr>
    </w:p>
    <w:p w14:paraId="3BB5488B" w14:textId="77777777" w:rsidR="00791752" w:rsidRPr="00AF457F" w:rsidRDefault="00791752" w:rsidP="00791752">
      <w:pPr>
        <w:spacing w:after="0" w:line="240" w:lineRule="auto"/>
        <w:jc w:val="both"/>
        <w:rPr>
          <w:rStyle w:val="Strong"/>
          <w:rFonts w:cstheme="minorHAnsi"/>
          <w:i/>
          <w:color w:val="2E74B5"/>
          <w:sz w:val="20"/>
          <w:szCs w:val="20"/>
        </w:rPr>
      </w:pPr>
    </w:p>
    <w:p w14:paraId="34ACDA4F" w14:textId="77777777" w:rsidR="00791752" w:rsidRPr="00AF457F" w:rsidRDefault="00791752" w:rsidP="00791752">
      <w:pPr>
        <w:spacing w:after="0" w:line="240" w:lineRule="auto"/>
        <w:jc w:val="both"/>
        <w:rPr>
          <w:rStyle w:val="Strong"/>
          <w:rFonts w:cstheme="minorHAnsi"/>
          <w:i/>
          <w:color w:val="2E74B5"/>
          <w:sz w:val="20"/>
          <w:szCs w:val="20"/>
        </w:rPr>
      </w:pPr>
    </w:p>
    <w:p w14:paraId="663FCC0F" w14:textId="77777777" w:rsidR="00791752" w:rsidRDefault="00791752" w:rsidP="00791752">
      <w:pPr>
        <w:spacing w:after="0" w:line="240" w:lineRule="auto"/>
        <w:jc w:val="both"/>
        <w:rPr>
          <w:rStyle w:val="Strong"/>
          <w:rFonts w:cstheme="minorHAnsi"/>
          <w:i/>
          <w:color w:val="2E74B5"/>
          <w:sz w:val="20"/>
          <w:szCs w:val="20"/>
        </w:rPr>
      </w:pPr>
    </w:p>
    <w:p w14:paraId="3884409A" w14:textId="77777777" w:rsidR="00791752" w:rsidRDefault="00791752" w:rsidP="00791752">
      <w:pPr>
        <w:spacing w:after="0" w:line="240" w:lineRule="auto"/>
        <w:jc w:val="both"/>
        <w:rPr>
          <w:rStyle w:val="Strong"/>
          <w:rFonts w:cstheme="minorHAnsi"/>
          <w:i/>
          <w:color w:val="2E74B5"/>
          <w:sz w:val="20"/>
          <w:szCs w:val="20"/>
        </w:rPr>
      </w:pPr>
    </w:p>
    <w:p w14:paraId="44AF3607" w14:textId="77777777" w:rsidR="00791752" w:rsidRDefault="00791752" w:rsidP="00791752">
      <w:pPr>
        <w:spacing w:after="0" w:line="240" w:lineRule="auto"/>
        <w:jc w:val="both"/>
        <w:rPr>
          <w:rStyle w:val="Strong"/>
          <w:rFonts w:cstheme="minorHAnsi"/>
          <w:i/>
          <w:color w:val="2E74B5"/>
          <w:sz w:val="20"/>
          <w:szCs w:val="20"/>
        </w:rPr>
      </w:pPr>
    </w:p>
    <w:p w14:paraId="10B87B78" w14:textId="77777777" w:rsidR="00791752" w:rsidRDefault="00791752" w:rsidP="00791752">
      <w:pPr>
        <w:spacing w:after="0" w:line="240" w:lineRule="auto"/>
        <w:jc w:val="both"/>
        <w:rPr>
          <w:rStyle w:val="Strong"/>
          <w:rFonts w:cstheme="minorHAnsi"/>
          <w:i/>
          <w:color w:val="2E74B5"/>
          <w:sz w:val="20"/>
          <w:szCs w:val="20"/>
        </w:rPr>
      </w:pPr>
    </w:p>
    <w:p w14:paraId="106564AB" w14:textId="77777777" w:rsidR="00791752" w:rsidRDefault="00791752" w:rsidP="00791752">
      <w:pPr>
        <w:spacing w:after="0" w:line="240" w:lineRule="auto"/>
        <w:jc w:val="both"/>
        <w:rPr>
          <w:rStyle w:val="Strong"/>
          <w:rFonts w:cstheme="minorHAnsi"/>
          <w:i/>
          <w:color w:val="2E74B5"/>
          <w:sz w:val="20"/>
          <w:szCs w:val="20"/>
        </w:rPr>
      </w:pPr>
    </w:p>
    <w:p w14:paraId="1CD39ED5" w14:textId="77777777" w:rsidR="00791752" w:rsidRDefault="00791752" w:rsidP="00791752">
      <w:pPr>
        <w:spacing w:after="0" w:line="240" w:lineRule="auto"/>
        <w:jc w:val="both"/>
        <w:rPr>
          <w:rStyle w:val="Strong"/>
          <w:rFonts w:cstheme="minorHAnsi"/>
          <w:i/>
          <w:color w:val="2E74B5"/>
          <w:sz w:val="20"/>
          <w:szCs w:val="20"/>
        </w:rPr>
      </w:pPr>
    </w:p>
    <w:p w14:paraId="7D811962" w14:textId="77777777" w:rsidR="00791752" w:rsidRDefault="00791752" w:rsidP="00791752">
      <w:pPr>
        <w:spacing w:after="0" w:line="240" w:lineRule="auto"/>
        <w:jc w:val="both"/>
        <w:rPr>
          <w:rStyle w:val="Strong"/>
          <w:rFonts w:cstheme="minorHAnsi"/>
          <w:i/>
          <w:color w:val="2E74B5"/>
          <w:sz w:val="20"/>
          <w:szCs w:val="20"/>
        </w:rPr>
      </w:pPr>
    </w:p>
    <w:p w14:paraId="5CB7B3CB" w14:textId="77777777" w:rsidR="00791752" w:rsidRDefault="00791752" w:rsidP="00791752">
      <w:pPr>
        <w:spacing w:after="0" w:line="240" w:lineRule="auto"/>
        <w:jc w:val="both"/>
        <w:rPr>
          <w:rStyle w:val="Strong"/>
          <w:rFonts w:cstheme="minorHAnsi"/>
          <w:i/>
          <w:color w:val="2E74B5"/>
          <w:sz w:val="20"/>
          <w:szCs w:val="20"/>
        </w:rPr>
      </w:pPr>
    </w:p>
    <w:p w14:paraId="0E7961DE" w14:textId="77777777" w:rsidR="00791752" w:rsidRDefault="00791752" w:rsidP="00791752">
      <w:pPr>
        <w:spacing w:line="240" w:lineRule="auto"/>
        <w:jc w:val="both"/>
        <w:sectPr w:rsidR="00791752" w:rsidSect="00791752">
          <w:type w:val="continuous"/>
          <w:pgSz w:w="11906" w:h="16838"/>
          <w:pgMar w:top="720" w:right="720" w:bottom="720" w:left="720" w:header="720" w:footer="720" w:gutter="0"/>
          <w:cols w:num="2" w:space="720"/>
          <w:docGrid w:linePitch="360"/>
        </w:sectPr>
      </w:pPr>
    </w:p>
    <w:p w14:paraId="61AC436F" w14:textId="77777777" w:rsidR="00791752" w:rsidRDefault="00791752" w:rsidP="00791752">
      <w:pPr>
        <w:spacing w:line="240" w:lineRule="auto"/>
        <w:jc w:val="both"/>
      </w:pPr>
    </w:p>
    <w:p w14:paraId="28A3E599" w14:textId="77777777" w:rsidR="00791752" w:rsidRDefault="00791752" w:rsidP="00791752">
      <w:pPr>
        <w:spacing w:line="240" w:lineRule="auto"/>
        <w:jc w:val="both"/>
      </w:pPr>
    </w:p>
    <w:p w14:paraId="32ABE41E" w14:textId="77777777" w:rsidR="005F3175" w:rsidRPr="005F3175" w:rsidRDefault="005F3175" w:rsidP="005F3175">
      <w:pPr>
        <w:spacing w:after="0" w:line="240" w:lineRule="auto"/>
        <w:jc w:val="both"/>
        <w:rPr>
          <w:rStyle w:val="Strong"/>
          <w:rFonts w:cstheme="minorHAnsi"/>
          <w:b w:val="0"/>
        </w:rPr>
      </w:pPr>
      <w:r w:rsidRPr="005F3175">
        <w:rPr>
          <w:rStyle w:val="Strong"/>
          <w:rFonts w:cstheme="minorHAnsi"/>
          <w:b w:val="0"/>
        </w:rPr>
        <w:t xml:space="preserve">The following summarise results when comparing estimates of mean weekly income from wages and salaries for the years 2013, 2014 and 2015 </w:t>
      </w:r>
      <w:r w:rsidRPr="005F3175">
        <w:t>using the unlinked NZIS data, tax data and linked NZIS-IDI dataset.</w:t>
      </w:r>
    </w:p>
    <w:p w14:paraId="075B1BF5" w14:textId="77777777" w:rsidR="005F3175" w:rsidRPr="005F3175" w:rsidRDefault="005F3175" w:rsidP="005F3175">
      <w:pPr>
        <w:numPr>
          <w:ilvl w:val="0"/>
          <w:numId w:val="10"/>
        </w:numPr>
        <w:tabs>
          <w:tab w:val="clear" w:pos="720"/>
          <w:tab w:val="num" w:pos="450"/>
        </w:tabs>
        <w:spacing w:after="0" w:line="240" w:lineRule="auto"/>
        <w:ind w:left="450" w:hanging="270"/>
        <w:jc w:val="both"/>
        <w:rPr>
          <w:rFonts w:cstheme="minorHAnsi"/>
        </w:rPr>
      </w:pPr>
      <w:r w:rsidRPr="005F3175">
        <w:rPr>
          <w:rFonts w:cstheme="minorHAnsi"/>
        </w:rPr>
        <w:t xml:space="preserve">The difference in the overall mean weekly income for people in the linked and unlinked NZIS datasets is less than 0.5%. </w:t>
      </w:r>
    </w:p>
    <w:p w14:paraId="4D4C3D4D" w14:textId="77777777" w:rsidR="005F3175" w:rsidRPr="005F3175" w:rsidRDefault="005F3175" w:rsidP="005F3175">
      <w:pPr>
        <w:pStyle w:val="ListParagraph"/>
        <w:numPr>
          <w:ilvl w:val="0"/>
          <w:numId w:val="10"/>
        </w:numPr>
        <w:tabs>
          <w:tab w:val="clear" w:pos="720"/>
          <w:tab w:val="num" w:pos="450"/>
        </w:tabs>
        <w:spacing w:after="0" w:line="240" w:lineRule="auto"/>
        <w:ind w:left="450" w:hanging="270"/>
        <w:jc w:val="both"/>
        <w:rPr>
          <w:rFonts w:cstheme="minorHAnsi"/>
        </w:rPr>
      </w:pPr>
      <w:r w:rsidRPr="005F3175">
        <w:rPr>
          <w:rFonts w:cstheme="minorHAnsi"/>
        </w:rPr>
        <w:t>In general, mean weekly income from the NZIS is about 2.5% lower than the mean from IRD data. There is more underreporting in the NZIS for higher earning individuals. A reason for this may be that h</w:t>
      </w:r>
      <w:r w:rsidRPr="005F3175">
        <w:rPr>
          <w:rFonts w:cstheme="minorHAnsi"/>
          <w:lang w:val="en-US"/>
        </w:rPr>
        <w:t xml:space="preserve">igh-income </w:t>
      </w:r>
      <w:r w:rsidR="005F2F0A">
        <w:rPr>
          <w:rFonts w:cstheme="minorHAnsi"/>
          <w:lang w:val="en-US"/>
        </w:rPr>
        <w:t>earners</w:t>
      </w:r>
      <w:r w:rsidRPr="005F3175">
        <w:rPr>
          <w:rFonts w:cstheme="minorHAnsi"/>
          <w:lang w:val="en-US"/>
        </w:rPr>
        <w:t xml:space="preserve"> tend to “forget” income that they received from additional jobs, overtime, or bonuses.</w:t>
      </w:r>
    </w:p>
    <w:p w14:paraId="00D88EC4" w14:textId="77777777" w:rsidR="005F3175" w:rsidRPr="005F3175" w:rsidRDefault="005F3175" w:rsidP="005F3175">
      <w:pPr>
        <w:pStyle w:val="ListParagraph"/>
        <w:numPr>
          <w:ilvl w:val="0"/>
          <w:numId w:val="10"/>
        </w:numPr>
        <w:tabs>
          <w:tab w:val="clear" w:pos="720"/>
          <w:tab w:val="num" w:pos="450"/>
        </w:tabs>
        <w:spacing w:after="0" w:line="240" w:lineRule="auto"/>
        <w:ind w:left="450" w:hanging="270"/>
        <w:jc w:val="both"/>
        <w:rPr>
          <w:rFonts w:cstheme="minorHAnsi"/>
        </w:rPr>
      </w:pPr>
      <w:r w:rsidRPr="005F3175">
        <w:rPr>
          <w:rFonts w:cstheme="minorHAnsi"/>
        </w:rPr>
        <w:t xml:space="preserve">NZIS mean weekly income is higher than the IRD data for the younger and older ages. </w:t>
      </w:r>
      <w:r w:rsidRPr="005F3175">
        <w:rPr>
          <w:rFonts w:cstheme="minorHAnsi"/>
          <w:lang w:val="en-US"/>
        </w:rPr>
        <w:t>These maybe individuals who hold part-time and/or irregular jobs and tend to report the income they receive in a full week of work which may be not representative of their average weekly income. Consequently, they are likely to over-report their income in the survey.</w:t>
      </w:r>
    </w:p>
    <w:p w14:paraId="0EE995E0" w14:textId="77777777" w:rsidR="005F3175" w:rsidRPr="005F3175" w:rsidRDefault="005F3175" w:rsidP="005F3175">
      <w:pPr>
        <w:numPr>
          <w:ilvl w:val="0"/>
          <w:numId w:val="10"/>
        </w:numPr>
        <w:tabs>
          <w:tab w:val="clear" w:pos="720"/>
          <w:tab w:val="num" w:pos="450"/>
        </w:tabs>
        <w:spacing w:after="0" w:line="240" w:lineRule="auto"/>
        <w:ind w:left="450" w:hanging="270"/>
        <w:jc w:val="both"/>
        <w:rPr>
          <w:rStyle w:val="Strong"/>
          <w:rFonts w:cstheme="minorHAnsi"/>
          <w:b w:val="0"/>
          <w:bCs w:val="0"/>
        </w:rPr>
      </w:pPr>
      <w:r w:rsidRPr="005F3175">
        <w:rPr>
          <w:rFonts w:cstheme="minorHAnsi"/>
        </w:rPr>
        <w:t>Similar results hold for the two different sex groups. These are presented</w:t>
      </w:r>
      <w:r>
        <w:rPr>
          <w:rFonts w:cstheme="minorHAnsi"/>
        </w:rPr>
        <w:t xml:space="preserve"> </w:t>
      </w:r>
      <w:r w:rsidRPr="005F3175">
        <w:rPr>
          <w:rFonts w:cstheme="minorHAnsi"/>
        </w:rPr>
        <w:t xml:space="preserve">in </w:t>
      </w:r>
      <w:r>
        <w:rPr>
          <w:rFonts w:cstheme="minorHAnsi"/>
        </w:rPr>
        <w:t>F</w:t>
      </w:r>
      <w:r w:rsidRPr="005F3175">
        <w:rPr>
          <w:rFonts w:cstheme="minorHAnsi"/>
        </w:rPr>
        <w:t>igures 4 – 9.</w:t>
      </w:r>
    </w:p>
    <w:p w14:paraId="32276D59" w14:textId="77777777" w:rsidR="005F3175" w:rsidRDefault="005F3175" w:rsidP="005F3175">
      <w:pPr>
        <w:spacing w:after="0"/>
        <w:rPr>
          <w:sz w:val="20"/>
          <w:szCs w:val="20"/>
        </w:rPr>
      </w:pPr>
    </w:p>
    <w:p w14:paraId="2D9AAC70" w14:textId="77777777" w:rsidR="00BC0498" w:rsidRDefault="00BC0498" w:rsidP="005F3175">
      <w:pPr>
        <w:spacing w:after="0"/>
        <w:rPr>
          <w:sz w:val="20"/>
          <w:szCs w:val="20"/>
        </w:rPr>
        <w:sectPr w:rsidR="00BC0498" w:rsidSect="00791752">
          <w:type w:val="continuous"/>
          <w:pgSz w:w="11906" w:h="16838"/>
          <w:pgMar w:top="720" w:right="720" w:bottom="720" w:left="720" w:header="720" w:footer="720" w:gutter="0"/>
          <w:cols w:space="720"/>
          <w:docGrid w:linePitch="360"/>
        </w:sectPr>
      </w:pPr>
    </w:p>
    <w:p w14:paraId="21D61041" w14:textId="77777777" w:rsidR="005F3175" w:rsidRPr="00BC0498" w:rsidRDefault="005F3175" w:rsidP="00BC0498">
      <w:pPr>
        <w:spacing w:after="0" w:line="240" w:lineRule="auto"/>
      </w:pPr>
      <w:r w:rsidRPr="00BC0498">
        <w:t>Figure 4. 2013 distribution of wages and salaries by age group for the male population</w:t>
      </w:r>
    </w:p>
    <w:p w14:paraId="2C3A5B5A" w14:textId="77777777" w:rsidR="00791752" w:rsidRDefault="005F3175" w:rsidP="00791752">
      <w:pPr>
        <w:spacing w:line="240" w:lineRule="auto"/>
        <w:jc w:val="both"/>
      </w:pPr>
      <w:r w:rsidRPr="00AF457F">
        <w:rPr>
          <w:rFonts w:cstheme="minorHAnsi"/>
          <w:b/>
          <w:bCs/>
          <w:i/>
          <w:noProof/>
          <w:color w:val="2E74B5"/>
          <w:sz w:val="20"/>
          <w:szCs w:val="20"/>
          <w:lang w:val="en-AU" w:eastAsia="en-AU"/>
        </w:rPr>
        <w:drawing>
          <wp:anchor distT="0" distB="0" distL="114300" distR="114300" simplePos="0" relativeHeight="251663360" behindDoc="0" locked="0" layoutInCell="1" allowOverlap="1" wp14:anchorId="659B7928" wp14:editId="1883D444">
            <wp:simplePos x="0" y="0"/>
            <wp:positionH relativeFrom="column">
              <wp:posOffset>12700</wp:posOffset>
            </wp:positionH>
            <wp:positionV relativeFrom="paragraph">
              <wp:posOffset>24765</wp:posOffset>
            </wp:positionV>
            <wp:extent cx="3017988" cy="1670050"/>
            <wp:effectExtent l="0" t="0" r="0" b="6350"/>
            <wp:wrapNone/>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19"/>
                    <a:stretch>
                      <a:fillRect/>
                    </a:stretch>
                  </pic:blipFill>
                  <pic:spPr>
                    <a:xfrm>
                      <a:off x="0" y="0"/>
                      <a:ext cx="3022353" cy="1672465"/>
                    </a:xfrm>
                    <a:prstGeom prst="rect">
                      <a:avLst/>
                    </a:prstGeom>
                  </pic:spPr>
                </pic:pic>
              </a:graphicData>
            </a:graphic>
            <wp14:sizeRelH relativeFrom="margin">
              <wp14:pctWidth>0</wp14:pctWidth>
            </wp14:sizeRelH>
            <wp14:sizeRelV relativeFrom="margin">
              <wp14:pctHeight>0</wp14:pctHeight>
            </wp14:sizeRelV>
          </wp:anchor>
        </w:drawing>
      </w:r>
    </w:p>
    <w:p w14:paraId="55CF63B3" w14:textId="77777777" w:rsidR="005F3175" w:rsidRDefault="005F3175" w:rsidP="00791752">
      <w:pPr>
        <w:spacing w:line="240" w:lineRule="auto"/>
        <w:jc w:val="both"/>
      </w:pPr>
    </w:p>
    <w:p w14:paraId="10309D9D" w14:textId="77777777" w:rsidR="005F3175" w:rsidRDefault="005F3175" w:rsidP="00791752">
      <w:pPr>
        <w:spacing w:line="240" w:lineRule="auto"/>
        <w:jc w:val="both"/>
      </w:pPr>
    </w:p>
    <w:p w14:paraId="341B4815" w14:textId="77777777" w:rsidR="005F3175" w:rsidRDefault="005F3175" w:rsidP="00791752">
      <w:pPr>
        <w:spacing w:line="240" w:lineRule="auto"/>
        <w:jc w:val="both"/>
      </w:pPr>
    </w:p>
    <w:p w14:paraId="15A92260" w14:textId="77777777" w:rsidR="005F3175" w:rsidRDefault="005F3175" w:rsidP="00791752">
      <w:pPr>
        <w:spacing w:line="240" w:lineRule="auto"/>
        <w:jc w:val="both"/>
      </w:pPr>
    </w:p>
    <w:p w14:paraId="14988110" w14:textId="77777777" w:rsidR="005F3175" w:rsidRDefault="005F3175" w:rsidP="005F3175">
      <w:pPr>
        <w:spacing w:after="0" w:line="240" w:lineRule="auto"/>
        <w:jc w:val="both"/>
      </w:pPr>
    </w:p>
    <w:p w14:paraId="399C0187" w14:textId="77777777" w:rsidR="00BC0498" w:rsidRDefault="00BC0498" w:rsidP="005F3175">
      <w:pPr>
        <w:spacing w:after="0"/>
      </w:pPr>
    </w:p>
    <w:p w14:paraId="30F37328" w14:textId="77777777" w:rsidR="005F3175" w:rsidRPr="00BC0498" w:rsidRDefault="005F3175" w:rsidP="00BC0498">
      <w:pPr>
        <w:spacing w:after="0" w:line="240" w:lineRule="auto"/>
      </w:pPr>
      <w:r w:rsidRPr="00BC0498">
        <w:t>Figure 5. 2014 distribution of wages and salaries by age group for the male population</w:t>
      </w:r>
    </w:p>
    <w:p w14:paraId="06959A94" w14:textId="77777777" w:rsidR="005F3175" w:rsidRDefault="005F3175" w:rsidP="00791752">
      <w:pPr>
        <w:spacing w:line="240" w:lineRule="auto"/>
        <w:jc w:val="both"/>
      </w:pPr>
      <w:r w:rsidRPr="00AF457F">
        <w:rPr>
          <w:rFonts w:cstheme="minorHAnsi"/>
          <w:b/>
          <w:bCs/>
          <w:i/>
          <w:noProof/>
          <w:color w:val="2E74B5"/>
          <w:sz w:val="20"/>
          <w:szCs w:val="20"/>
          <w:lang w:val="en-AU" w:eastAsia="en-AU"/>
        </w:rPr>
        <w:drawing>
          <wp:anchor distT="0" distB="0" distL="114300" distR="114300" simplePos="0" relativeHeight="251665408" behindDoc="0" locked="0" layoutInCell="1" allowOverlap="1" wp14:anchorId="1472FB4A" wp14:editId="1A1EFD68">
            <wp:simplePos x="0" y="0"/>
            <wp:positionH relativeFrom="margin">
              <wp:align>left</wp:align>
            </wp:positionH>
            <wp:positionV relativeFrom="paragraph">
              <wp:posOffset>54362</wp:posOffset>
            </wp:positionV>
            <wp:extent cx="3075417" cy="1709530"/>
            <wp:effectExtent l="0" t="0" r="0" b="5080"/>
            <wp:wrapNone/>
            <wp:docPr id="1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0"/>
                    <a:stretch>
                      <a:fillRect/>
                    </a:stretch>
                  </pic:blipFill>
                  <pic:spPr>
                    <a:xfrm>
                      <a:off x="0" y="0"/>
                      <a:ext cx="3075417" cy="1709530"/>
                    </a:xfrm>
                    <a:prstGeom prst="rect">
                      <a:avLst/>
                    </a:prstGeom>
                  </pic:spPr>
                </pic:pic>
              </a:graphicData>
            </a:graphic>
            <wp14:sizeRelH relativeFrom="margin">
              <wp14:pctWidth>0</wp14:pctWidth>
            </wp14:sizeRelH>
            <wp14:sizeRelV relativeFrom="margin">
              <wp14:pctHeight>0</wp14:pctHeight>
            </wp14:sizeRelV>
          </wp:anchor>
        </w:drawing>
      </w:r>
    </w:p>
    <w:p w14:paraId="3457D976" w14:textId="77777777" w:rsidR="005F3175" w:rsidRDefault="005F3175" w:rsidP="00791752">
      <w:pPr>
        <w:spacing w:line="240" w:lineRule="auto"/>
        <w:jc w:val="both"/>
      </w:pPr>
    </w:p>
    <w:p w14:paraId="293E5877" w14:textId="77777777" w:rsidR="005F3175" w:rsidRDefault="005F3175" w:rsidP="00791752">
      <w:pPr>
        <w:spacing w:line="240" w:lineRule="auto"/>
        <w:jc w:val="both"/>
      </w:pPr>
    </w:p>
    <w:p w14:paraId="57D4837A" w14:textId="77777777" w:rsidR="00791752" w:rsidRDefault="00791752" w:rsidP="00343DE9">
      <w:pPr>
        <w:spacing w:line="240" w:lineRule="auto"/>
        <w:jc w:val="both"/>
        <w:rPr>
          <w:rFonts w:cstheme="minorHAnsi"/>
          <w:sz w:val="20"/>
          <w:szCs w:val="20"/>
        </w:rPr>
      </w:pPr>
    </w:p>
    <w:p w14:paraId="0EC4CCA5" w14:textId="77777777" w:rsidR="005F3175" w:rsidRDefault="005F3175" w:rsidP="00343DE9">
      <w:pPr>
        <w:spacing w:line="240" w:lineRule="auto"/>
        <w:jc w:val="both"/>
        <w:rPr>
          <w:rFonts w:cstheme="minorHAnsi"/>
          <w:sz w:val="20"/>
          <w:szCs w:val="20"/>
        </w:rPr>
      </w:pPr>
    </w:p>
    <w:p w14:paraId="2EEB89F1" w14:textId="77777777" w:rsidR="005F3175" w:rsidRDefault="005F3175" w:rsidP="00343DE9">
      <w:pPr>
        <w:spacing w:line="240" w:lineRule="auto"/>
        <w:jc w:val="both"/>
        <w:rPr>
          <w:rFonts w:cstheme="minorHAnsi"/>
          <w:sz w:val="20"/>
          <w:szCs w:val="20"/>
        </w:rPr>
      </w:pPr>
    </w:p>
    <w:p w14:paraId="1D17BEA4" w14:textId="77777777" w:rsidR="00BC0498" w:rsidRDefault="00BC0498" w:rsidP="00BC0498">
      <w:pPr>
        <w:spacing w:after="0" w:line="240" w:lineRule="auto"/>
      </w:pPr>
    </w:p>
    <w:p w14:paraId="32F9561F" w14:textId="77777777" w:rsidR="005F3175" w:rsidRPr="00BC0498" w:rsidRDefault="005F3175" w:rsidP="00BC0498">
      <w:pPr>
        <w:spacing w:after="0" w:line="240" w:lineRule="auto"/>
      </w:pPr>
      <w:r w:rsidRPr="00BC0498">
        <w:t>Figure 6. 2015 distribution of wages and salaries by age group for the male population</w:t>
      </w:r>
    </w:p>
    <w:p w14:paraId="2269B41D" w14:textId="77777777" w:rsidR="005F3175" w:rsidRDefault="005F3175" w:rsidP="00343DE9">
      <w:pPr>
        <w:spacing w:line="240" w:lineRule="auto"/>
        <w:jc w:val="both"/>
        <w:rPr>
          <w:rFonts w:cstheme="minorHAnsi"/>
          <w:sz w:val="20"/>
          <w:szCs w:val="20"/>
        </w:rPr>
      </w:pPr>
      <w:r w:rsidRPr="00DC2462">
        <w:rPr>
          <w:rFonts w:cstheme="minorHAnsi"/>
          <w:b/>
          <w:bCs/>
          <w:i/>
          <w:noProof/>
          <w:color w:val="2E74B5"/>
          <w:sz w:val="20"/>
          <w:szCs w:val="20"/>
          <w:lang w:val="en-AU" w:eastAsia="en-AU"/>
        </w:rPr>
        <w:drawing>
          <wp:anchor distT="0" distB="0" distL="114300" distR="114300" simplePos="0" relativeHeight="251667456" behindDoc="0" locked="0" layoutInCell="1" allowOverlap="1" wp14:anchorId="31EC491C" wp14:editId="50BD9834">
            <wp:simplePos x="0" y="0"/>
            <wp:positionH relativeFrom="column">
              <wp:align>left</wp:align>
            </wp:positionH>
            <wp:positionV relativeFrom="paragraph">
              <wp:posOffset>15709</wp:posOffset>
            </wp:positionV>
            <wp:extent cx="2990914" cy="1670050"/>
            <wp:effectExtent l="0" t="0" r="0" b="6350"/>
            <wp:wrapNone/>
            <wp:docPr id="2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0"/>
                    <pic:cNvPicPr>
                      <a:picLocks noChangeAspect="1"/>
                    </pic:cNvPicPr>
                  </pic:nvPicPr>
                  <pic:blipFill>
                    <a:blip r:embed="rId21"/>
                    <a:stretch>
                      <a:fillRect/>
                    </a:stretch>
                  </pic:blipFill>
                  <pic:spPr>
                    <a:xfrm>
                      <a:off x="0" y="0"/>
                      <a:ext cx="2990914" cy="1670050"/>
                    </a:xfrm>
                    <a:prstGeom prst="rect">
                      <a:avLst/>
                    </a:prstGeom>
                  </pic:spPr>
                </pic:pic>
              </a:graphicData>
            </a:graphic>
            <wp14:sizeRelH relativeFrom="margin">
              <wp14:pctWidth>0</wp14:pctWidth>
            </wp14:sizeRelH>
            <wp14:sizeRelV relativeFrom="margin">
              <wp14:pctHeight>0</wp14:pctHeight>
            </wp14:sizeRelV>
          </wp:anchor>
        </w:drawing>
      </w:r>
    </w:p>
    <w:p w14:paraId="4C2F6FA3" w14:textId="77777777" w:rsidR="00B15747" w:rsidRDefault="00B15747" w:rsidP="00D57C15">
      <w:pPr>
        <w:spacing w:after="0" w:line="240" w:lineRule="auto"/>
      </w:pPr>
    </w:p>
    <w:p w14:paraId="52DA9568" w14:textId="77777777" w:rsidR="00B15747" w:rsidRDefault="00B15747" w:rsidP="00D57C15">
      <w:pPr>
        <w:spacing w:after="0" w:line="240" w:lineRule="auto"/>
      </w:pPr>
    </w:p>
    <w:p w14:paraId="26A2A4C7" w14:textId="77777777" w:rsidR="00B15747" w:rsidRDefault="00B15747" w:rsidP="00D57C15">
      <w:pPr>
        <w:spacing w:after="0" w:line="240" w:lineRule="auto"/>
      </w:pPr>
    </w:p>
    <w:p w14:paraId="489832A5" w14:textId="77777777" w:rsidR="00B15747" w:rsidRDefault="00B15747" w:rsidP="00D57C15">
      <w:pPr>
        <w:spacing w:after="0" w:line="240" w:lineRule="auto"/>
      </w:pPr>
    </w:p>
    <w:p w14:paraId="11DBC14E" w14:textId="77777777" w:rsidR="00B15747" w:rsidRDefault="00B15747" w:rsidP="00D57C15">
      <w:pPr>
        <w:spacing w:after="0" w:line="240" w:lineRule="auto"/>
      </w:pPr>
    </w:p>
    <w:p w14:paraId="36938D40" w14:textId="77777777" w:rsidR="00B15747" w:rsidRDefault="00B15747" w:rsidP="00D57C15">
      <w:pPr>
        <w:spacing w:after="0" w:line="240" w:lineRule="auto"/>
      </w:pPr>
    </w:p>
    <w:p w14:paraId="559EA7C4" w14:textId="77777777" w:rsidR="00B15747" w:rsidRDefault="00B15747" w:rsidP="00D57C15">
      <w:pPr>
        <w:spacing w:after="0" w:line="240" w:lineRule="auto"/>
      </w:pPr>
    </w:p>
    <w:p w14:paraId="4296EA09" w14:textId="77777777" w:rsidR="00B15747" w:rsidRDefault="00B15747" w:rsidP="00D57C15">
      <w:pPr>
        <w:spacing w:after="0" w:line="240" w:lineRule="auto"/>
      </w:pPr>
    </w:p>
    <w:p w14:paraId="329D4153" w14:textId="77777777" w:rsidR="00B15747" w:rsidRDefault="00B15747" w:rsidP="00D57C15">
      <w:pPr>
        <w:spacing w:after="0" w:line="240" w:lineRule="auto"/>
      </w:pPr>
    </w:p>
    <w:p w14:paraId="55DFCFC3" w14:textId="77777777" w:rsidR="005F3175" w:rsidRPr="00D57C15" w:rsidRDefault="005F3175" w:rsidP="00D57C15">
      <w:pPr>
        <w:spacing w:after="0" w:line="240" w:lineRule="auto"/>
      </w:pPr>
      <w:r w:rsidRPr="00D57C15">
        <w:t>Figure 7. 2013 distribution of wages and salaries by age group for the female population</w:t>
      </w:r>
    </w:p>
    <w:p w14:paraId="0632580A" w14:textId="77777777" w:rsidR="005F3175" w:rsidRDefault="005F3175" w:rsidP="00343DE9">
      <w:pPr>
        <w:spacing w:line="240" w:lineRule="auto"/>
        <w:jc w:val="both"/>
        <w:rPr>
          <w:rFonts w:cstheme="minorHAnsi"/>
          <w:sz w:val="20"/>
          <w:szCs w:val="20"/>
        </w:rPr>
      </w:pPr>
      <w:r w:rsidRPr="00DC2462">
        <w:rPr>
          <w:rFonts w:cstheme="minorHAnsi"/>
          <w:b/>
          <w:bCs/>
          <w:i/>
          <w:noProof/>
          <w:color w:val="2E74B5"/>
          <w:sz w:val="20"/>
          <w:szCs w:val="20"/>
          <w:lang w:val="en-AU" w:eastAsia="en-AU"/>
        </w:rPr>
        <w:drawing>
          <wp:anchor distT="0" distB="0" distL="114300" distR="114300" simplePos="0" relativeHeight="251669504" behindDoc="0" locked="0" layoutInCell="1" allowOverlap="1" wp14:anchorId="1484E559" wp14:editId="495F54BC">
            <wp:simplePos x="0" y="0"/>
            <wp:positionH relativeFrom="column">
              <wp:posOffset>6654</wp:posOffset>
            </wp:positionH>
            <wp:positionV relativeFrom="paragraph">
              <wp:posOffset>28216</wp:posOffset>
            </wp:positionV>
            <wp:extent cx="2964568" cy="1796995"/>
            <wp:effectExtent l="0" t="0" r="762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22"/>
                    <a:stretch>
                      <a:fillRect/>
                    </a:stretch>
                  </pic:blipFill>
                  <pic:spPr>
                    <a:xfrm>
                      <a:off x="0" y="0"/>
                      <a:ext cx="2971441" cy="1801161"/>
                    </a:xfrm>
                    <a:prstGeom prst="rect">
                      <a:avLst/>
                    </a:prstGeom>
                  </pic:spPr>
                </pic:pic>
              </a:graphicData>
            </a:graphic>
            <wp14:sizeRelH relativeFrom="margin">
              <wp14:pctWidth>0</wp14:pctWidth>
            </wp14:sizeRelH>
            <wp14:sizeRelV relativeFrom="margin">
              <wp14:pctHeight>0</wp14:pctHeight>
            </wp14:sizeRelV>
          </wp:anchor>
        </w:drawing>
      </w:r>
    </w:p>
    <w:p w14:paraId="54683632" w14:textId="77777777" w:rsidR="005F3175" w:rsidRDefault="005F3175" w:rsidP="00343DE9">
      <w:pPr>
        <w:spacing w:line="240" w:lineRule="auto"/>
        <w:jc w:val="both"/>
        <w:rPr>
          <w:rFonts w:cstheme="minorHAnsi"/>
          <w:sz w:val="20"/>
          <w:szCs w:val="20"/>
        </w:rPr>
      </w:pPr>
    </w:p>
    <w:p w14:paraId="3CF40FB4" w14:textId="77777777" w:rsidR="005F3175" w:rsidRDefault="005F3175" w:rsidP="00396829">
      <w:pPr>
        <w:shd w:val="clear" w:color="auto" w:fill="FFFFFF"/>
        <w:spacing w:before="450" w:after="0" w:line="240" w:lineRule="auto"/>
        <w:outlineLvl w:val="1"/>
        <w:rPr>
          <w:rFonts w:ascii="Calibri" w:eastAsia="Times New Roman" w:hAnsi="Calibri" w:cs="Calibri"/>
          <w:color w:val="008080"/>
          <w:sz w:val="30"/>
          <w:szCs w:val="30"/>
          <w:lang w:eastAsia="en-NZ"/>
        </w:rPr>
      </w:pPr>
    </w:p>
    <w:p w14:paraId="7A0B49AC" w14:textId="77777777" w:rsidR="005F3175" w:rsidRDefault="005F3175" w:rsidP="00396829">
      <w:pPr>
        <w:shd w:val="clear" w:color="auto" w:fill="FFFFFF"/>
        <w:spacing w:before="450" w:after="0" w:line="240" w:lineRule="auto"/>
        <w:outlineLvl w:val="1"/>
        <w:rPr>
          <w:rFonts w:ascii="Calibri" w:eastAsia="Times New Roman" w:hAnsi="Calibri" w:cs="Calibri"/>
          <w:color w:val="008080"/>
          <w:sz w:val="30"/>
          <w:szCs w:val="30"/>
          <w:lang w:eastAsia="en-NZ"/>
        </w:rPr>
      </w:pPr>
    </w:p>
    <w:p w14:paraId="1E165129" w14:textId="77777777" w:rsidR="005F3175" w:rsidRPr="00B617CA" w:rsidRDefault="005F3175" w:rsidP="00396829">
      <w:pPr>
        <w:shd w:val="clear" w:color="auto" w:fill="FFFFFF"/>
        <w:spacing w:before="450" w:after="0" w:line="240" w:lineRule="auto"/>
        <w:outlineLvl w:val="1"/>
        <w:rPr>
          <w:rFonts w:ascii="Calibri" w:eastAsia="Times New Roman" w:hAnsi="Calibri" w:cs="Calibri"/>
          <w:color w:val="008080"/>
          <w:lang w:eastAsia="en-NZ"/>
        </w:rPr>
      </w:pPr>
    </w:p>
    <w:p w14:paraId="5934472B" w14:textId="77777777" w:rsidR="00D57C15" w:rsidRDefault="00D57C15" w:rsidP="00B617CA">
      <w:pPr>
        <w:spacing w:after="0" w:line="240" w:lineRule="auto"/>
      </w:pPr>
      <w:r w:rsidRPr="00B617CA">
        <w:lastRenderedPageBreak/>
        <w:t>Figure 8. 2014 distribution of wages and salaries by age group for the female population</w:t>
      </w:r>
    </w:p>
    <w:p w14:paraId="459B1C14" w14:textId="77777777" w:rsidR="00B617CA" w:rsidRPr="00B617CA" w:rsidRDefault="00B617CA" w:rsidP="00B617CA">
      <w:pPr>
        <w:spacing w:after="0" w:line="240" w:lineRule="auto"/>
      </w:pPr>
      <w:r w:rsidRPr="00B617CA">
        <w:rPr>
          <w:rFonts w:ascii="Calibri" w:eastAsia="Calibri" w:hAnsi="Calibri" w:cs="Times New Roman"/>
          <w:b/>
          <w:bCs/>
          <w:i/>
          <w:noProof/>
          <w:color w:val="2E74B5"/>
          <w:lang w:val="en-AU" w:eastAsia="en-AU"/>
        </w:rPr>
        <w:drawing>
          <wp:anchor distT="0" distB="0" distL="114300" distR="114300" simplePos="0" relativeHeight="251671552" behindDoc="0" locked="0" layoutInCell="1" allowOverlap="1" wp14:anchorId="69427C1F" wp14:editId="36A0AA92">
            <wp:simplePos x="0" y="0"/>
            <wp:positionH relativeFrom="margin">
              <wp:align>left</wp:align>
            </wp:positionH>
            <wp:positionV relativeFrom="paragraph">
              <wp:posOffset>36691</wp:posOffset>
            </wp:positionV>
            <wp:extent cx="3145375" cy="1701579"/>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23"/>
                    <a:stretch>
                      <a:fillRect/>
                    </a:stretch>
                  </pic:blipFill>
                  <pic:spPr>
                    <a:xfrm>
                      <a:off x="0" y="0"/>
                      <a:ext cx="3145375" cy="1701579"/>
                    </a:xfrm>
                    <a:prstGeom prst="rect">
                      <a:avLst/>
                    </a:prstGeom>
                  </pic:spPr>
                </pic:pic>
              </a:graphicData>
            </a:graphic>
            <wp14:sizeRelH relativeFrom="margin">
              <wp14:pctWidth>0</wp14:pctWidth>
            </wp14:sizeRelH>
            <wp14:sizeRelV relativeFrom="margin">
              <wp14:pctHeight>0</wp14:pctHeight>
            </wp14:sizeRelV>
          </wp:anchor>
        </w:drawing>
      </w:r>
    </w:p>
    <w:p w14:paraId="6A9114D6" w14:textId="77777777" w:rsidR="00D57C15" w:rsidRDefault="00D57C15" w:rsidP="005F3175">
      <w:pPr>
        <w:spacing w:after="0"/>
        <w:rPr>
          <w:sz w:val="20"/>
          <w:szCs w:val="20"/>
        </w:rPr>
      </w:pPr>
    </w:p>
    <w:p w14:paraId="5AD95352" w14:textId="77777777" w:rsidR="00D57C15" w:rsidRDefault="00D57C15" w:rsidP="005F3175">
      <w:pPr>
        <w:spacing w:after="0"/>
        <w:rPr>
          <w:sz w:val="20"/>
          <w:szCs w:val="20"/>
        </w:rPr>
      </w:pPr>
    </w:p>
    <w:p w14:paraId="5E5E5B1C" w14:textId="77777777" w:rsidR="00B617CA" w:rsidRDefault="00B617CA" w:rsidP="00B617CA">
      <w:pPr>
        <w:spacing w:before="240" w:after="0" w:line="240" w:lineRule="auto"/>
      </w:pPr>
      <w:r w:rsidRPr="00B617CA">
        <w:t xml:space="preserve">Figure </w:t>
      </w:r>
      <w:r>
        <w:t>9</w:t>
      </w:r>
      <w:r w:rsidRPr="00B617CA">
        <w:t>. 201</w:t>
      </w:r>
      <w:r>
        <w:t>5</w:t>
      </w:r>
      <w:r w:rsidRPr="00B617CA">
        <w:t xml:space="preserve"> distribution of wages and salaries by age group for the female population</w:t>
      </w:r>
    </w:p>
    <w:p w14:paraId="64DA37B5" w14:textId="77777777" w:rsidR="005F3175" w:rsidRPr="00B617CA" w:rsidRDefault="00B617CA" w:rsidP="00B617CA">
      <w:pPr>
        <w:shd w:val="clear" w:color="auto" w:fill="FFFFFF"/>
        <w:spacing w:after="0" w:line="240" w:lineRule="auto"/>
        <w:outlineLvl w:val="1"/>
        <w:rPr>
          <w:rFonts w:ascii="Calibri" w:eastAsia="Times New Roman" w:hAnsi="Calibri" w:cs="Calibri"/>
          <w:color w:val="008080"/>
          <w:lang w:eastAsia="en-NZ"/>
        </w:rPr>
      </w:pPr>
      <w:r w:rsidRPr="00533031">
        <w:rPr>
          <w:bCs/>
          <w:i/>
          <w:noProof/>
          <w:color w:val="2E74B5"/>
          <w:lang w:val="en-AU" w:eastAsia="en-AU"/>
        </w:rPr>
        <w:drawing>
          <wp:anchor distT="0" distB="0" distL="114300" distR="114300" simplePos="0" relativeHeight="251673600" behindDoc="0" locked="0" layoutInCell="1" allowOverlap="1" wp14:anchorId="4CBC7FCD" wp14:editId="767FB05D">
            <wp:simplePos x="0" y="0"/>
            <wp:positionH relativeFrom="column">
              <wp:posOffset>1905</wp:posOffset>
            </wp:positionH>
            <wp:positionV relativeFrom="paragraph">
              <wp:posOffset>25400</wp:posOffset>
            </wp:positionV>
            <wp:extent cx="2930525" cy="1724660"/>
            <wp:effectExtent l="0" t="0" r="3175" b="889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4"/>
                    <a:stretch>
                      <a:fillRect/>
                    </a:stretch>
                  </pic:blipFill>
                  <pic:spPr>
                    <a:xfrm>
                      <a:off x="0" y="0"/>
                      <a:ext cx="2930525" cy="1724660"/>
                    </a:xfrm>
                    <a:prstGeom prst="rect">
                      <a:avLst/>
                    </a:prstGeom>
                  </pic:spPr>
                </pic:pic>
              </a:graphicData>
            </a:graphic>
            <wp14:sizeRelH relativeFrom="margin">
              <wp14:pctWidth>0</wp14:pctWidth>
            </wp14:sizeRelH>
            <wp14:sizeRelV relativeFrom="margin">
              <wp14:pctHeight>0</wp14:pctHeight>
            </wp14:sizeRelV>
          </wp:anchor>
        </w:drawing>
      </w:r>
    </w:p>
    <w:p w14:paraId="2298023B" w14:textId="77777777" w:rsidR="00BC0498" w:rsidRPr="00B617CA" w:rsidRDefault="00BC0498" w:rsidP="00BC0498">
      <w:pPr>
        <w:shd w:val="clear" w:color="auto" w:fill="FFFFFF"/>
        <w:spacing w:after="0" w:line="240" w:lineRule="auto"/>
        <w:outlineLvl w:val="1"/>
        <w:rPr>
          <w:rFonts w:ascii="Calibri" w:eastAsia="Times New Roman" w:hAnsi="Calibri" w:cs="Calibri"/>
          <w:color w:val="008080"/>
          <w:lang w:eastAsia="en-NZ"/>
        </w:rPr>
        <w:sectPr w:rsidR="00BC0498" w:rsidRPr="00B617CA" w:rsidSect="00BC0498">
          <w:type w:val="continuous"/>
          <w:pgSz w:w="11906" w:h="16838"/>
          <w:pgMar w:top="720" w:right="720" w:bottom="720" w:left="720" w:header="720" w:footer="720" w:gutter="0"/>
          <w:cols w:num="2" w:space="720"/>
          <w:docGrid w:linePitch="360"/>
        </w:sectPr>
      </w:pPr>
    </w:p>
    <w:p w14:paraId="3C9A655B" w14:textId="77777777" w:rsidR="005F3175" w:rsidRDefault="005F3175" w:rsidP="00BC0498">
      <w:pPr>
        <w:shd w:val="clear" w:color="auto" w:fill="FFFFFF"/>
        <w:spacing w:after="0" w:line="240" w:lineRule="auto"/>
        <w:outlineLvl w:val="1"/>
        <w:rPr>
          <w:rFonts w:ascii="Calibri" w:eastAsia="Times New Roman" w:hAnsi="Calibri" w:cs="Calibri"/>
          <w:color w:val="008080"/>
          <w:sz w:val="30"/>
          <w:szCs w:val="30"/>
          <w:lang w:eastAsia="en-NZ"/>
        </w:rPr>
      </w:pPr>
    </w:p>
    <w:p w14:paraId="0A2F1852" w14:textId="77777777" w:rsidR="005F3175" w:rsidRDefault="005F3175" w:rsidP="00396829">
      <w:pPr>
        <w:shd w:val="clear" w:color="auto" w:fill="FFFFFF"/>
        <w:spacing w:before="450" w:after="0" w:line="240" w:lineRule="auto"/>
        <w:outlineLvl w:val="1"/>
        <w:rPr>
          <w:rFonts w:ascii="Calibri" w:eastAsia="Times New Roman" w:hAnsi="Calibri" w:cs="Calibri"/>
          <w:color w:val="008080"/>
          <w:sz w:val="30"/>
          <w:szCs w:val="30"/>
          <w:lang w:eastAsia="en-NZ"/>
        </w:rPr>
      </w:pPr>
    </w:p>
    <w:p w14:paraId="4BC4C779" w14:textId="77777777" w:rsidR="005F3175" w:rsidRDefault="005F3175" w:rsidP="00396829">
      <w:pPr>
        <w:shd w:val="clear" w:color="auto" w:fill="FFFFFF"/>
        <w:spacing w:before="450" w:after="0" w:line="240" w:lineRule="auto"/>
        <w:outlineLvl w:val="1"/>
        <w:rPr>
          <w:rFonts w:ascii="Calibri" w:eastAsia="Times New Roman" w:hAnsi="Calibri" w:cs="Calibri"/>
          <w:color w:val="008080"/>
          <w:sz w:val="30"/>
          <w:szCs w:val="30"/>
          <w:lang w:eastAsia="en-NZ"/>
        </w:rPr>
      </w:pPr>
    </w:p>
    <w:p w14:paraId="572543F3" w14:textId="77777777" w:rsidR="00F84719" w:rsidRDefault="00F84719" w:rsidP="00AB5924">
      <w:pPr>
        <w:spacing w:after="0" w:line="240" w:lineRule="auto"/>
        <w:jc w:val="both"/>
        <w:rPr>
          <w:rStyle w:val="Strong"/>
          <w:rFonts w:cstheme="minorHAnsi"/>
          <w:color w:val="008080"/>
          <w:sz w:val="24"/>
          <w:szCs w:val="24"/>
        </w:rPr>
      </w:pPr>
    </w:p>
    <w:p w14:paraId="4BAC96B2" w14:textId="77777777" w:rsidR="00F84719" w:rsidRDefault="00AB5924" w:rsidP="00F84719">
      <w:pPr>
        <w:spacing w:after="0" w:line="240" w:lineRule="auto"/>
        <w:jc w:val="both"/>
        <w:rPr>
          <w:rStyle w:val="Strong"/>
          <w:rFonts w:cstheme="minorHAnsi"/>
          <w:color w:val="008080"/>
          <w:sz w:val="24"/>
          <w:szCs w:val="24"/>
        </w:rPr>
      </w:pPr>
      <w:r w:rsidRPr="00F84719">
        <w:rPr>
          <w:rStyle w:val="Strong"/>
          <w:rFonts w:cstheme="minorHAnsi"/>
          <w:color w:val="008080"/>
          <w:sz w:val="24"/>
          <w:szCs w:val="24"/>
        </w:rPr>
        <w:t>Income from self-employment</w:t>
      </w:r>
    </w:p>
    <w:p w14:paraId="371E0734" w14:textId="77777777" w:rsidR="005F3175" w:rsidRPr="00F84719" w:rsidRDefault="00AB5924" w:rsidP="00F84719">
      <w:pPr>
        <w:spacing w:after="0" w:line="240" w:lineRule="auto"/>
        <w:jc w:val="both"/>
        <w:rPr>
          <w:rFonts w:ascii="Calibri" w:eastAsia="Times New Roman" w:hAnsi="Calibri" w:cs="Calibri"/>
          <w:color w:val="008080"/>
          <w:lang w:eastAsia="en-NZ"/>
        </w:rPr>
      </w:pPr>
      <w:r w:rsidRPr="00F84719">
        <w:rPr>
          <w:rStyle w:val="Strong"/>
          <w:rFonts w:cstheme="minorHAnsi"/>
          <w:b w:val="0"/>
        </w:rPr>
        <w:t>Figures 10, 11 and 12 illustrate the distribution of income from self-employment, by age group, for the unlinked NZIS</w:t>
      </w:r>
      <w:r w:rsidR="00F84719" w:rsidRPr="00F84719">
        <w:rPr>
          <w:rStyle w:val="Strong"/>
          <w:rFonts w:cstheme="minorHAnsi"/>
          <w:b w:val="0"/>
        </w:rPr>
        <w:t xml:space="preserve"> data, </w:t>
      </w:r>
      <w:r w:rsidR="00F84719" w:rsidRPr="00F84719">
        <w:rPr>
          <w:rFonts w:cstheme="minorHAnsi"/>
        </w:rPr>
        <w:t xml:space="preserve">tax data and linked NZIS- IDI </w:t>
      </w:r>
      <w:r w:rsidR="005F2F0A">
        <w:rPr>
          <w:rFonts w:cstheme="minorHAnsi"/>
        </w:rPr>
        <w:t>data. Data for some age groups</w:t>
      </w:r>
      <w:r w:rsidR="00B15747">
        <w:rPr>
          <w:rFonts w:cstheme="minorHAnsi"/>
        </w:rPr>
        <w:t xml:space="preserve"> </w:t>
      </w:r>
      <w:r w:rsidR="00F84719" w:rsidRPr="00F84719">
        <w:rPr>
          <w:rFonts w:cstheme="minorHAnsi"/>
        </w:rPr>
        <w:t>have been suppressed due to quality issues.</w:t>
      </w:r>
    </w:p>
    <w:p w14:paraId="160715E2" w14:textId="77777777" w:rsidR="00F84719" w:rsidRDefault="00F84719" w:rsidP="00F84719">
      <w:pPr>
        <w:spacing w:after="0" w:line="240" w:lineRule="auto"/>
        <w:rPr>
          <w:rFonts w:cstheme="minorHAnsi"/>
        </w:rPr>
        <w:sectPr w:rsidR="00F84719" w:rsidSect="00791752">
          <w:type w:val="continuous"/>
          <w:pgSz w:w="11906" w:h="16838"/>
          <w:pgMar w:top="720" w:right="720" w:bottom="720" w:left="720" w:header="720" w:footer="720" w:gutter="0"/>
          <w:cols w:space="720"/>
          <w:docGrid w:linePitch="360"/>
        </w:sectPr>
      </w:pPr>
    </w:p>
    <w:p w14:paraId="28DF3739" w14:textId="77777777" w:rsidR="00F84719" w:rsidRDefault="00F84719" w:rsidP="00F84719">
      <w:pPr>
        <w:spacing w:after="0" w:line="240" w:lineRule="auto"/>
        <w:rPr>
          <w:rFonts w:cstheme="minorHAnsi"/>
        </w:rPr>
      </w:pPr>
    </w:p>
    <w:p w14:paraId="1656616C" w14:textId="77777777" w:rsidR="00F84719" w:rsidRPr="00F84719" w:rsidRDefault="00F84719" w:rsidP="00F84719">
      <w:pPr>
        <w:spacing w:after="0" w:line="240" w:lineRule="auto"/>
        <w:rPr>
          <w:rFonts w:cstheme="minorHAnsi"/>
        </w:rPr>
      </w:pPr>
      <w:r w:rsidRPr="00F84719">
        <w:rPr>
          <w:rFonts w:cstheme="minorHAnsi"/>
        </w:rPr>
        <w:t>Figure 10. 2013 distribution of income from self-employment by age group</w:t>
      </w:r>
    </w:p>
    <w:p w14:paraId="0AE42C4D" w14:textId="77777777" w:rsidR="00F84719" w:rsidRPr="00F84719" w:rsidRDefault="00F84719" w:rsidP="00F84719">
      <w:pPr>
        <w:spacing w:after="0" w:line="240" w:lineRule="auto"/>
        <w:jc w:val="both"/>
        <w:rPr>
          <w:rStyle w:val="Strong"/>
          <w:rFonts w:cstheme="minorHAnsi"/>
          <w:i/>
          <w:color w:val="2E74B5"/>
        </w:rPr>
      </w:pPr>
      <w:r w:rsidRPr="00F84719">
        <w:rPr>
          <w:rFonts w:cstheme="minorHAnsi"/>
          <w:b/>
          <w:bCs/>
          <w:i/>
          <w:noProof/>
          <w:color w:val="2E74B5"/>
          <w:lang w:val="en-AU" w:eastAsia="en-AU"/>
        </w:rPr>
        <w:drawing>
          <wp:inline distT="0" distB="0" distL="0" distR="0" wp14:anchorId="1B9DD846" wp14:editId="117EABE8">
            <wp:extent cx="3157268" cy="1897859"/>
            <wp:effectExtent l="0" t="0" r="5080" b="762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164334" cy="1902106"/>
                    </a:xfrm>
                    <a:prstGeom prst="rect">
                      <a:avLst/>
                    </a:prstGeom>
                    <a:noFill/>
                  </pic:spPr>
                </pic:pic>
              </a:graphicData>
            </a:graphic>
          </wp:inline>
        </w:drawing>
      </w:r>
    </w:p>
    <w:p w14:paraId="6E84450F" w14:textId="77777777" w:rsidR="00F84719" w:rsidRPr="00F84719" w:rsidRDefault="00F84719" w:rsidP="00F84719">
      <w:pPr>
        <w:spacing w:after="0" w:line="240" w:lineRule="auto"/>
        <w:jc w:val="both"/>
        <w:rPr>
          <w:rStyle w:val="Strong"/>
          <w:rFonts w:cstheme="minorHAnsi"/>
          <w:i/>
          <w:color w:val="2E74B5"/>
        </w:rPr>
      </w:pPr>
    </w:p>
    <w:p w14:paraId="635A4E67" w14:textId="77777777" w:rsidR="00F84719" w:rsidRPr="00F84719" w:rsidRDefault="00F84719" w:rsidP="00F84719">
      <w:pPr>
        <w:spacing w:after="0" w:line="240" w:lineRule="auto"/>
      </w:pPr>
      <w:r w:rsidRPr="00F84719">
        <w:t>Figure 11. 2014 distribution of income from self-employment by age group</w:t>
      </w:r>
    </w:p>
    <w:p w14:paraId="1A7EAC4C" w14:textId="77777777" w:rsidR="00F84719" w:rsidRPr="00F84719" w:rsidRDefault="00F84719" w:rsidP="00F84719">
      <w:pPr>
        <w:spacing w:after="0" w:line="240" w:lineRule="auto"/>
        <w:jc w:val="both"/>
        <w:rPr>
          <w:rStyle w:val="Strong"/>
          <w:rFonts w:cstheme="minorHAnsi"/>
          <w:i/>
          <w:color w:val="2E74B5"/>
        </w:rPr>
      </w:pPr>
    </w:p>
    <w:p w14:paraId="08A4A226" w14:textId="77777777" w:rsidR="00F84719" w:rsidRPr="00F84719" w:rsidRDefault="00F84719" w:rsidP="00F84719">
      <w:pPr>
        <w:spacing w:after="0" w:line="240" w:lineRule="auto"/>
      </w:pPr>
      <w:r w:rsidRPr="00F84719">
        <w:t>Figure 12. 2015 distribution of income from self-employment by age group</w:t>
      </w:r>
    </w:p>
    <w:p w14:paraId="2EED4AAC" w14:textId="77777777" w:rsidR="00F84719" w:rsidRPr="00F84719" w:rsidRDefault="00F84719" w:rsidP="00F84719">
      <w:pPr>
        <w:spacing w:after="0" w:line="240" w:lineRule="auto"/>
        <w:jc w:val="both"/>
        <w:rPr>
          <w:rStyle w:val="Strong"/>
          <w:rFonts w:cstheme="minorHAnsi"/>
          <w:i/>
          <w:color w:val="2E74B5"/>
        </w:rPr>
      </w:pPr>
      <w:r w:rsidRPr="00F84719">
        <w:rPr>
          <w:b/>
          <w:bCs/>
          <w:i/>
          <w:noProof/>
          <w:color w:val="2E74B5"/>
          <w:lang w:val="en-AU" w:eastAsia="en-AU"/>
        </w:rPr>
        <w:drawing>
          <wp:anchor distT="0" distB="0" distL="114300" distR="114300" simplePos="0" relativeHeight="251676672" behindDoc="0" locked="0" layoutInCell="1" allowOverlap="1" wp14:anchorId="439598C8" wp14:editId="5D12FEA8">
            <wp:simplePos x="0" y="0"/>
            <wp:positionH relativeFrom="column">
              <wp:posOffset>8625</wp:posOffset>
            </wp:positionH>
            <wp:positionV relativeFrom="paragraph">
              <wp:posOffset>671</wp:posOffset>
            </wp:positionV>
            <wp:extent cx="3154823" cy="1984075"/>
            <wp:effectExtent l="0" t="0" r="7620" b="0"/>
            <wp:wrapNone/>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a:blip r:embed="rId26"/>
                    <a:stretch>
                      <a:fillRect/>
                    </a:stretch>
                  </pic:blipFill>
                  <pic:spPr>
                    <a:xfrm>
                      <a:off x="0" y="0"/>
                      <a:ext cx="3155327" cy="1984392"/>
                    </a:xfrm>
                    <a:prstGeom prst="rect">
                      <a:avLst/>
                    </a:prstGeom>
                  </pic:spPr>
                </pic:pic>
              </a:graphicData>
            </a:graphic>
            <wp14:sizeRelH relativeFrom="margin">
              <wp14:pctWidth>0</wp14:pctWidth>
            </wp14:sizeRelH>
            <wp14:sizeRelV relativeFrom="margin">
              <wp14:pctHeight>0</wp14:pctHeight>
            </wp14:sizeRelV>
          </wp:anchor>
        </w:drawing>
      </w:r>
    </w:p>
    <w:p w14:paraId="60566B2B" w14:textId="77777777" w:rsidR="00F84719" w:rsidRPr="00F84719" w:rsidRDefault="00F84719" w:rsidP="00F84719">
      <w:pPr>
        <w:spacing w:after="0" w:line="240" w:lineRule="auto"/>
        <w:jc w:val="both"/>
        <w:rPr>
          <w:rStyle w:val="Strong"/>
          <w:rFonts w:cstheme="minorHAnsi"/>
          <w:i/>
          <w:color w:val="2E74B5"/>
        </w:rPr>
      </w:pPr>
    </w:p>
    <w:p w14:paraId="6E5A43C9" w14:textId="77777777" w:rsidR="00F84719" w:rsidRPr="00F84719" w:rsidRDefault="00F84719" w:rsidP="00F84719">
      <w:pPr>
        <w:spacing w:after="0" w:line="240" w:lineRule="auto"/>
        <w:jc w:val="both"/>
        <w:rPr>
          <w:rStyle w:val="Strong"/>
          <w:rFonts w:cstheme="minorHAnsi"/>
          <w:i/>
          <w:color w:val="2E74B5"/>
        </w:rPr>
      </w:pPr>
    </w:p>
    <w:p w14:paraId="17E756D4" w14:textId="77777777" w:rsidR="00F84719" w:rsidRPr="00F84719" w:rsidRDefault="00F84719" w:rsidP="00F84719">
      <w:pPr>
        <w:spacing w:after="0" w:line="240" w:lineRule="auto"/>
        <w:jc w:val="both"/>
        <w:rPr>
          <w:rStyle w:val="Strong"/>
          <w:rFonts w:cstheme="minorHAnsi"/>
          <w:i/>
          <w:color w:val="2E74B5"/>
        </w:rPr>
      </w:pPr>
    </w:p>
    <w:p w14:paraId="20FAD092" w14:textId="77777777" w:rsidR="00F84719" w:rsidRPr="00F84719" w:rsidRDefault="00F84719" w:rsidP="00F84719">
      <w:pPr>
        <w:spacing w:after="0" w:line="240" w:lineRule="auto"/>
        <w:jc w:val="both"/>
        <w:rPr>
          <w:rStyle w:val="Strong"/>
          <w:rFonts w:cstheme="minorHAnsi"/>
          <w:i/>
          <w:color w:val="2E74B5"/>
        </w:rPr>
      </w:pPr>
    </w:p>
    <w:p w14:paraId="51202470" w14:textId="77777777" w:rsidR="00F84719" w:rsidRPr="00F84719" w:rsidRDefault="00F84719" w:rsidP="00F84719">
      <w:pPr>
        <w:spacing w:after="0" w:line="240" w:lineRule="auto"/>
        <w:jc w:val="both"/>
        <w:rPr>
          <w:rStyle w:val="Strong"/>
          <w:rFonts w:cstheme="minorHAnsi"/>
          <w:i/>
          <w:color w:val="2E74B5"/>
        </w:rPr>
      </w:pPr>
    </w:p>
    <w:p w14:paraId="5922CDC1" w14:textId="77777777" w:rsidR="00F84719" w:rsidRPr="00F84719" w:rsidRDefault="00F84719" w:rsidP="00F84719">
      <w:pPr>
        <w:spacing w:after="0" w:line="240" w:lineRule="auto"/>
        <w:jc w:val="both"/>
        <w:rPr>
          <w:rStyle w:val="Strong"/>
          <w:rFonts w:cstheme="minorHAnsi"/>
          <w:i/>
          <w:color w:val="2E74B5"/>
        </w:rPr>
      </w:pPr>
    </w:p>
    <w:p w14:paraId="273C42A0" w14:textId="77777777" w:rsidR="00F84719" w:rsidRPr="00F84719" w:rsidRDefault="00F84719" w:rsidP="00F84719">
      <w:pPr>
        <w:spacing w:after="0" w:line="240" w:lineRule="auto"/>
        <w:jc w:val="both"/>
        <w:rPr>
          <w:rStyle w:val="Strong"/>
          <w:rFonts w:cstheme="minorHAnsi"/>
          <w:i/>
          <w:color w:val="2E74B5"/>
        </w:rPr>
      </w:pPr>
    </w:p>
    <w:p w14:paraId="4DD4C1FA" w14:textId="77777777" w:rsidR="00F84719" w:rsidRPr="00F84719" w:rsidRDefault="00F84719" w:rsidP="00F84719">
      <w:pPr>
        <w:spacing w:after="0" w:line="240" w:lineRule="auto"/>
        <w:jc w:val="both"/>
        <w:rPr>
          <w:rStyle w:val="Strong"/>
          <w:rFonts w:cstheme="minorHAnsi"/>
          <w:i/>
          <w:color w:val="2E74B5"/>
        </w:rPr>
      </w:pPr>
    </w:p>
    <w:p w14:paraId="76226317" w14:textId="77777777" w:rsidR="00F84719" w:rsidRPr="00F84719" w:rsidRDefault="00F84719" w:rsidP="00F84719">
      <w:pPr>
        <w:spacing w:after="0" w:line="240" w:lineRule="auto"/>
        <w:jc w:val="both"/>
        <w:rPr>
          <w:rStyle w:val="Strong"/>
          <w:rFonts w:cstheme="minorHAnsi"/>
          <w:i/>
          <w:color w:val="2E74B5"/>
        </w:rPr>
      </w:pPr>
    </w:p>
    <w:p w14:paraId="2040704E" w14:textId="77777777" w:rsidR="00F84719" w:rsidRPr="00F84719" w:rsidRDefault="00F84719" w:rsidP="00F84719">
      <w:pPr>
        <w:spacing w:after="0" w:line="240" w:lineRule="auto"/>
        <w:jc w:val="both"/>
        <w:rPr>
          <w:rStyle w:val="Strong"/>
          <w:rFonts w:cstheme="minorHAnsi"/>
          <w:i/>
          <w:color w:val="2E74B5"/>
        </w:rPr>
      </w:pPr>
    </w:p>
    <w:p w14:paraId="6321190E" w14:textId="77777777" w:rsidR="00F84719" w:rsidRPr="00F84719" w:rsidRDefault="00F84719" w:rsidP="00F84719">
      <w:pPr>
        <w:spacing w:after="0" w:line="240" w:lineRule="auto"/>
        <w:jc w:val="both"/>
        <w:rPr>
          <w:rStyle w:val="Strong"/>
          <w:rFonts w:cstheme="minorHAnsi"/>
          <w:i/>
          <w:color w:val="2E74B5"/>
        </w:rPr>
      </w:pPr>
    </w:p>
    <w:p w14:paraId="07CB1B2F" w14:textId="77777777" w:rsidR="00F84719" w:rsidRPr="00F84719" w:rsidRDefault="00F84719" w:rsidP="00F84719">
      <w:pPr>
        <w:spacing w:after="0" w:line="240" w:lineRule="auto"/>
        <w:jc w:val="both"/>
        <w:rPr>
          <w:rStyle w:val="Strong"/>
          <w:rFonts w:cstheme="minorHAnsi"/>
          <w:i/>
          <w:color w:val="2E74B5"/>
        </w:rPr>
      </w:pPr>
    </w:p>
    <w:p w14:paraId="15DE9F89"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sectPr w:rsidR="00F84719" w:rsidSect="00F84719">
          <w:type w:val="continuous"/>
          <w:pgSz w:w="11906" w:h="16838"/>
          <w:pgMar w:top="720" w:right="720" w:bottom="720" w:left="720" w:header="720" w:footer="720" w:gutter="0"/>
          <w:cols w:num="2" w:space="720"/>
          <w:docGrid w:linePitch="360"/>
        </w:sectPr>
      </w:pPr>
    </w:p>
    <w:p w14:paraId="189B0CDC" w14:textId="77777777" w:rsidR="005F3175" w:rsidRDefault="00E27C0B" w:rsidP="00F84719">
      <w:pPr>
        <w:shd w:val="clear" w:color="auto" w:fill="FFFFFF"/>
        <w:spacing w:after="0" w:line="240" w:lineRule="auto"/>
        <w:outlineLvl w:val="1"/>
        <w:rPr>
          <w:rFonts w:ascii="Calibri" w:eastAsia="Times New Roman" w:hAnsi="Calibri" w:cs="Calibri"/>
          <w:color w:val="008080"/>
          <w:lang w:eastAsia="en-NZ"/>
        </w:rPr>
      </w:pPr>
      <w:r w:rsidRPr="00F84719">
        <w:rPr>
          <w:b/>
          <w:bCs/>
          <w:i/>
          <w:noProof/>
          <w:color w:val="2E74B5"/>
          <w:lang w:val="en-AU" w:eastAsia="en-AU"/>
        </w:rPr>
        <w:drawing>
          <wp:anchor distT="0" distB="0" distL="114300" distR="114300" simplePos="0" relativeHeight="251675648" behindDoc="0" locked="0" layoutInCell="1" allowOverlap="1" wp14:anchorId="3CC0503E" wp14:editId="38D332DD">
            <wp:simplePos x="0" y="0"/>
            <wp:positionH relativeFrom="column">
              <wp:posOffset>19685</wp:posOffset>
            </wp:positionH>
            <wp:positionV relativeFrom="paragraph">
              <wp:posOffset>3175</wp:posOffset>
            </wp:positionV>
            <wp:extent cx="3182620" cy="1993265"/>
            <wp:effectExtent l="0" t="0" r="0" b="6985"/>
            <wp:wrapNone/>
            <wp:docPr id="1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r:embed="rId27"/>
                    <a:stretch>
                      <a:fillRect/>
                    </a:stretch>
                  </pic:blipFill>
                  <pic:spPr>
                    <a:xfrm>
                      <a:off x="0" y="0"/>
                      <a:ext cx="3182620" cy="1993265"/>
                    </a:xfrm>
                    <a:prstGeom prst="rect">
                      <a:avLst/>
                    </a:prstGeom>
                  </pic:spPr>
                </pic:pic>
              </a:graphicData>
            </a:graphic>
            <wp14:sizeRelH relativeFrom="margin">
              <wp14:pctWidth>0</wp14:pctWidth>
            </wp14:sizeRelH>
            <wp14:sizeRelV relativeFrom="margin">
              <wp14:pctHeight>0</wp14:pctHeight>
            </wp14:sizeRelV>
          </wp:anchor>
        </w:drawing>
      </w:r>
    </w:p>
    <w:p w14:paraId="0F490F58"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00DE5806"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6CE3825E"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6F0D4616"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6B469B9F"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0ECD16AE"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6CEBC4AF"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2BE5659C"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1A77EB37"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058752C8"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337F862B" w14:textId="77777777" w:rsidR="00F84719" w:rsidRDefault="00F84719" w:rsidP="00F84719">
      <w:pPr>
        <w:shd w:val="clear" w:color="auto" w:fill="FFFFFF"/>
        <w:spacing w:after="0" w:line="240" w:lineRule="auto"/>
        <w:outlineLvl w:val="1"/>
        <w:rPr>
          <w:rFonts w:ascii="Calibri" w:eastAsia="Times New Roman" w:hAnsi="Calibri" w:cs="Calibri"/>
          <w:color w:val="008080"/>
          <w:lang w:eastAsia="en-NZ"/>
        </w:rPr>
      </w:pPr>
    </w:p>
    <w:p w14:paraId="3E4AEC59" w14:textId="77777777" w:rsidR="001077AC" w:rsidRPr="001077AC" w:rsidRDefault="001077AC" w:rsidP="00E27C0B">
      <w:pPr>
        <w:spacing w:before="240" w:after="0" w:line="240" w:lineRule="auto"/>
        <w:jc w:val="both"/>
        <w:rPr>
          <w:rStyle w:val="Strong"/>
          <w:rFonts w:cstheme="minorHAnsi"/>
          <w:b w:val="0"/>
        </w:rPr>
      </w:pPr>
      <w:r w:rsidRPr="001077AC">
        <w:rPr>
          <w:rStyle w:val="Strong"/>
          <w:rFonts w:cstheme="minorHAnsi"/>
          <w:b w:val="0"/>
        </w:rPr>
        <w:t xml:space="preserve">The following summarise results when comparing estimates of mean weekly income from self-employment for the years 2013, 2014 and 2015 </w:t>
      </w:r>
      <w:r w:rsidRPr="001077AC">
        <w:rPr>
          <w:rFonts w:cstheme="minorHAnsi"/>
        </w:rPr>
        <w:t>using the unlinked NZIS data, tax data and linked NZIS-IDI dataset.</w:t>
      </w:r>
    </w:p>
    <w:p w14:paraId="5B59EC2B" w14:textId="77777777" w:rsidR="001077AC" w:rsidRPr="001077AC" w:rsidRDefault="001077AC" w:rsidP="001077AC">
      <w:pPr>
        <w:pStyle w:val="ListParagraph"/>
        <w:numPr>
          <w:ilvl w:val="0"/>
          <w:numId w:val="11"/>
        </w:numPr>
        <w:spacing w:after="0" w:line="240" w:lineRule="auto"/>
        <w:ind w:left="450"/>
        <w:jc w:val="both"/>
        <w:rPr>
          <w:rFonts w:cstheme="minorHAnsi"/>
        </w:rPr>
      </w:pPr>
      <w:r w:rsidRPr="001077AC">
        <w:rPr>
          <w:rStyle w:val="Strong"/>
          <w:rFonts w:cstheme="minorHAnsi"/>
          <w:b w:val="0"/>
        </w:rPr>
        <w:t xml:space="preserve">There are </w:t>
      </w:r>
      <w:r w:rsidRPr="001077AC">
        <w:rPr>
          <w:rFonts w:cstheme="minorHAnsi"/>
        </w:rPr>
        <w:t>large discrepancies between mean weekly income obtained from the NZIS and IRD data. These may be attributed to the computation of this source from the IRD data. Some of the components of this income source are reported to IRD annually at the end of the tax year while the rest are reported to IRD monthly. Therefore, the difference is mostly attributed to conceptual differences in self-employment income.</w:t>
      </w:r>
    </w:p>
    <w:p w14:paraId="23C625A9" w14:textId="77777777" w:rsidR="001077AC" w:rsidRPr="001077AC" w:rsidRDefault="001077AC" w:rsidP="001077AC">
      <w:pPr>
        <w:pStyle w:val="ListParagraph"/>
        <w:numPr>
          <w:ilvl w:val="0"/>
          <w:numId w:val="11"/>
        </w:numPr>
        <w:spacing w:after="0" w:line="240" w:lineRule="auto"/>
        <w:ind w:left="450"/>
        <w:jc w:val="both"/>
        <w:rPr>
          <w:rFonts w:cstheme="minorHAnsi"/>
        </w:rPr>
      </w:pPr>
      <w:r w:rsidRPr="001077AC">
        <w:rPr>
          <w:rFonts w:cstheme="minorHAnsi"/>
        </w:rPr>
        <w:t>The difference in the overall mean weekly income between the linked and unl</w:t>
      </w:r>
      <w:r w:rsidR="005F2F0A">
        <w:rPr>
          <w:rFonts w:cstheme="minorHAnsi"/>
        </w:rPr>
        <w:t>ink</w:t>
      </w:r>
      <w:r w:rsidRPr="001077AC">
        <w:rPr>
          <w:rFonts w:cstheme="minorHAnsi"/>
        </w:rPr>
        <w:t xml:space="preserve">ed NZIS datasets is less than 0.3%. </w:t>
      </w:r>
    </w:p>
    <w:p w14:paraId="039F776D" w14:textId="77777777" w:rsidR="001077AC" w:rsidRPr="001077AC" w:rsidRDefault="001077AC" w:rsidP="001077AC">
      <w:pPr>
        <w:pStyle w:val="ListParagraph"/>
        <w:numPr>
          <w:ilvl w:val="0"/>
          <w:numId w:val="11"/>
        </w:numPr>
        <w:spacing w:after="0" w:line="240" w:lineRule="auto"/>
        <w:ind w:left="450"/>
        <w:jc w:val="both"/>
        <w:rPr>
          <w:rFonts w:cstheme="minorHAnsi"/>
        </w:rPr>
      </w:pPr>
      <w:r w:rsidRPr="001077AC">
        <w:rPr>
          <w:rFonts w:cstheme="minorHAnsi"/>
        </w:rPr>
        <w:lastRenderedPageBreak/>
        <w:t xml:space="preserve">In general, the mean weekly income from the NZIS is higher than the mean from IRD data. </w:t>
      </w:r>
    </w:p>
    <w:p w14:paraId="17B53876" w14:textId="77777777" w:rsidR="001077AC" w:rsidRPr="001077AC" w:rsidRDefault="001077AC" w:rsidP="001077AC">
      <w:pPr>
        <w:spacing w:after="0" w:line="240" w:lineRule="auto"/>
        <w:jc w:val="both"/>
        <w:rPr>
          <w:rStyle w:val="Strong"/>
          <w:rFonts w:cstheme="minorHAnsi"/>
          <w:i/>
          <w:color w:val="2E74B5"/>
          <w:sz w:val="24"/>
          <w:szCs w:val="24"/>
        </w:rPr>
      </w:pPr>
    </w:p>
    <w:p w14:paraId="1E43D29F" w14:textId="77777777" w:rsidR="001077AC" w:rsidRPr="001077AC" w:rsidRDefault="00B336AF" w:rsidP="001077AC">
      <w:pPr>
        <w:pStyle w:val="Heading3"/>
        <w:spacing w:before="0" w:beforeAutospacing="0" w:after="0" w:afterAutospacing="0"/>
        <w:rPr>
          <w:rFonts w:asciiTheme="minorHAnsi" w:hAnsiTheme="minorHAnsi" w:cstheme="minorHAnsi"/>
          <w:color w:val="008080"/>
          <w:sz w:val="24"/>
          <w:szCs w:val="24"/>
        </w:rPr>
      </w:pPr>
      <w:r>
        <w:rPr>
          <w:rFonts w:asciiTheme="minorHAnsi" w:hAnsiTheme="minorHAnsi" w:cstheme="minorHAnsi"/>
          <w:color w:val="008080"/>
          <w:sz w:val="24"/>
          <w:szCs w:val="24"/>
        </w:rPr>
        <w:t xml:space="preserve">HES </w:t>
      </w:r>
      <w:r w:rsidR="001077AC" w:rsidRPr="001077AC">
        <w:rPr>
          <w:rFonts w:asciiTheme="minorHAnsi" w:hAnsiTheme="minorHAnsi" w:cstheme="minorHAnsi"/>
          <w:color w:val="008080"/>
          <w:sz w:val="24"/>
          <w:szCs w:val="24"/>
        </w:rPr>
        <w:t>and HES-IDI wage earnings distributions</w:t>
      </w:r>
    </w:p>
    <w:p w14:paraId="2AF3E9BE" w14:textId="77777777" w:rsidR="001077AC" w:rsidRPr="001077AC" w:rsidRDefault="001077AC" w:rsidP="001077AC">
      <w:pPr>
        <w:pStyle w:val="Heading4"/>
        <w:spacing w:before="0"/>
        <w:rPr>
          <w:rFonts w:asciiTheme="minorHAnsi" w:hAnsiTheme="minorHAnsi" w:cstheme="minorHAnsi"/>
          <w:i w:val="0"/>
          <w:color w:val="008080"/>
        </w:rPr>
      </w:pPr>
      <w:r w:rsidRPr="001077AC">
        <w:rPr>
          <w:rFonts w:asciiTheme="minorHAnsi" w:hAnsiTheme="minorHAnsi" w:cstheme="minorHAnsi"/>
          <w:i w:val="0"/>
          <w:color w:val="008080"/>
        </w:rPr>
        <w:t>Wages and salaries</w:t>
      </w:r>
    </w:p>
    <w:p w14:paraId="6A5AD88A" w14:textId="77777777" w:rsidR="001077AC" w:rsidRDefault="001077AC" w:rsidP="001077AC">
      <w:pPr>
        <w:spacing w:line="240" w:lineRule="auto"/>
        <w:jc w:val="both"/>
        <w:rPr>
          <w:rFonts w:cstheme="minorHAnsi"/>
        </w:rPr>
      </w:pPr>
      <w:r w:rsidRPr="001077AC">
        <w:rPr>
          <w:rFonts w:cstheme="minorHAnsi"/>
        </w:rPr>
        <w:t>Figures 13, 14 and 15 illustrate the distribution of wages and salaries, by age group, for the unlinked HES data, tax data and linked HES-IDI dataset.</w:t>
      </w:r>
    </w:p>
    <w:p w14:paraId="3A322104" w14:textId="77777777" w:rsidR="001077AC" w:rsidRPr="001077AC" w:rsidRDefault="001077AC" w:rsidP="001077AC">
      <w:pPr>
        <w:spacing w:after="0" w:line="240" w:lineRule="auto"/>
        <w:jc w:val="both"/>
      </w:pPr>
      <w:r w:rsidRPr="001077AC">
        <w:rPr>
          <w:rStyle w:val="Strong"/>
          <w:rFonts w:cstheme="minorHAnsi"/>
          <w:b w:val="0"/>
        </w:rPr>
        <w:t xml:space="preserve">The following summarise results when comparing estimates of mean annual income from wages and salaries for the years 2013, 2014 and 2015 </w:t>
      </w:r>
      <w:r w:rsidRPr="001077AC">
        <w:t>using the unlinked HES data, tax data and linked HES-IDI dataset.</w:t>
      </w:r>
    </w:p>
    <w:p w14:paraId="30296C19" w14:textId="77777777" w:rsidR="001077AC" w:rsidRPr="001077AC" w:rsidRDefault="001077AC" w:rsidP="001077AC">
      <w:pPr>
        <w:pStyle w:val="ListParagraph"/>
        <w:numPr>
          <w:ilvl w:val="0"/>
          <w:numId w:val="12"/>
        </w:numPr>
        <w:spacing w:line="240" w:lineRule="auto"/>
        <w:ind w:left="450"/>
        <w:jc w:val="both"/>
        <w:rPr>
          <w:rFonts w:cstheme="minorHAnsi"/>
        </w:rPr>
      </w:pPr>
      <w:r w:rsidRPr="001077AC">
        <w:rPr>
          <w:rFonts w:cstheme="minorHAnsi"/>
        </w:rPr>
        <w:t>The difference in the overall mean annual income for people in the unlinked and linked HES datasets around 2%.</w:t>
      </w:r>
    </w:p>
    <w:p w14:paraId="4024C629" w14:textId="77777777" w:rsidR="001077AC" w:rsidRPr="001077AC" w:rsidRDefault="001077AC" w:rsidP="001077AC">
      <w:pPr>
        <w:pStyle w:val="ListParagraph"/>
        <w:numPr>
          <w:ilvl w:val="0"/>
          <w:numId w:val="12"/>
        </w:numPr>
        <w:spacing w:line="240" w:lineRule="auto"/>
        <w:ind w:left="450"/>
        <w:jc w:val="both"/>
        <w:rPr>
          <w:rFonts w:cstheme="minorHAnsi"/>
        </w:rPr>
      </w:pPr>
      <w:r w:rsidRPr="001077AC">
        <w:rPr>
          <w:rFonts w:cstheme="minorHAnsi"/>
        </w:rPr>
        <w:t xml:space="preserve">In general, the mean annual income from the HES is about 5.5% higher than the mean from IRD data with higher differences exhibited for the younger and older ages. </w:t>
      </w:r>
      <w:r w:rsidRPr="001077AC">
        <w:rPr>
          <w:rFonts w:cstheme="minorHAnsi"/>
          <w:lang w:val="en-US"/>
        </w:rPr>
        <w:t>These maybe individuals who hold part-time and/or irregular jobs and may report income from full-time employment rather tha</w:t>
      </w:r>
      <w:r w:rsidR="005F2F0A">
        <w:rPr>
          <w:rFonts w:cstheme="minorHAnsi"/>
          <w:lang w:val="en-US"/>
        </w:rPr>
        <w:t>n</w:t>
      </w:r>
      <w:r w:rsidRPr="001077AC">
        <w:rPr>
          <w:rFonts w:cstheme="minorHAnsi"/>
          <w:lang w:val="en-US"/>
        </w:rPr>
        <w:t xml:space="preserve"> their true income.</w:t>
      </w:r>
    </w:p>
    <w:p w14:paraId="5DD2ECE2" w14:textId="77777777" w:rsidR="001077AC" w:rsidRDefault="001077AC" w:rsidP="001077AC">
      <w:pPr>
        <w:spacing w:line="240" w:lineRule="auto"/>
        <w:jc w:val="both"/>
        <w:sectPr w:rsidR="001077AC" w:rsidSect="00791752">
          <w:type w:val="continuous"/>
          <w:pgSz w:w="11906" w:h="16838"/>
          <w:pgMar w:top="720" w:right="720" w:bottom="720" w:left="720" w:header="720" w:footer="720" w:gutter="0"/>
          <w:cols w:space="720"/>
          <w:docGrid w:linePitch="360"/>
        </w:sectPr>
      </w:pPr>
    </w:p>
    <w:p w14:paraId="7FD679B5" w14:textId="77777777" w:rsidR="001077AC" w:rsidRPr="001077AC" w:rsidRDefault="001077AC" w:rsidP="001077AC">
      <w:pPr>
        <w:spacing w:after="0" w:line="240" w:lineRule="auto"/>
        <w:jc w:val="both"/>
      </w:pPr>
      <w:r w:rsidRPr="001077AC">
        <w:t>Figure 13. 2013 distribution of wages and salaries by age group</w:t>
      </w:r>
    </w:p>
    <w:p w14:paraId="62080C43" w14:textId="77777777" w:rsidR="001077AC" w:rsidRPr="001077AC" w:rsidRDefault="001077AC" w:rsidP="001077AC">
      <w:pPr>
        <w:spacing w:after="0" w:line="240" w:lineRule="auto"/>
        <w:jc w:val="both"/>
        <w:rPr>
          <w:rStyle w:val="Strong"/>
          <w:rFonts w:cstheme="minorHAnsi"/>
          <w:i/>
          <w:color w:val="2E74B5"/>
        </w:rPr>
      </w:pPr>
      <w:r w:rsidRPr="001077AC">
        <w:rPr>
          <w:b/>
          <w:bCs/>
          <w:i/>
          <w:noProof/>
          <w:color w:val="2E74B5"/>
          <w:lang w:val="en-AU" w:eastAsia="en-AU"/>
        </w:rPr>
        <w:drawing>
          <wp:anchor distT="0" distB="0" distL="114300" distR="114300" simplePos="0" relativeHeight="251678720" behindDoc="0" locked="0" layoutInCell="1" allowOverlap="1" wp14:anchorId="1953280C" wp14:editId="26340D15">
            <wp:simplePos x="0" y="0"/>
            <wp:positionH relativeFrom="column">
              <wp:posOffset>-58109</wp:posOffset>
            </wp:positionH>
            <wp:positionV relativeFrom="paragraph">
              <wp:posOffset>53975</wp:posOffset>
            </wp:positionV>
            <wp:extent cx="3171190" cy="1906270"/>
            <wp:effectExtent l="0" t="0" r="0" b="0"/>
            <wp:wrapNone/>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28"/>
                    <a:stretch>
                      <a:fillRect/>
                    </a:stretch>
                  </pic:blipFill>
                  <pic:spPr>
                    <a:xfrm>
                      <a:off x="0" y="0"/>
                      <a:ext cx="3171190" cy="1906270"/>
                    </a:xfrm>
                    <a:prstGeom prst="rect">
                      <a:avLst/>
                    </a:prstGeom>
                  </pic:spPr>
                </pic:pic>
              </a:graphicData>
            </a:graphic>
            <wp14:sizeRelH relativeFrom="margin">
              <wp14:pctWidth>0</wp14:pctWidth>
            </wp14:sizeRelH>
            <wp14:sizeRelV relativeFrom="margin">
              <wp14:pctHeight>0</wp14:pctHeight>
            </wp14:sizeRelV>
          </wp:anchor>
        </w:drawing>
      </w:r>
    </w:p>
    <w:p w14:paraId="69CB5BC0" w14:textId="77777777" w:rsidR="001077AC" w:rsidRPr="001077AC" w:rsidRDefault="001077AC" w:rsidP="001077AC">
      <w:pPr>
        <w:spacing w:after="0" w:line="240" w:lineRule="auto"/>
        <w:jc w:val="both"/>
        <w:rPr>
          <w:rStyle w:val="Strong"/>
          <w:rFonts w:cstheme="minorHAnsi"/>
          <w:i/>
          <w:color w:val="2E74B5"/>
        </w:rPr>
      </w:pPr>
    </w:p>
    <w:p w14:paraId="398BC6CB" w14:textId="77777777" w:rsidR="001077AC" w:rsidRPr="001077AC" w:rsidRDefault="001077AC" w:rsidP="001077AC">
      <w:pPr>
        <w:spacing w:after="0" w:line="240" w:lineRule="auto"/>
        <w:jc w:val="both"/>
        <w:rPr>
          <w:rStyle w:val="Strong"/>
          <w:rFonts w:cstheme="minorHAnsi"/>
          <w:i/>
          <w:color w:val="2E74B5"/>
        </w:rPr>
      </w:pPr>
    </w:p>
    <w:p w14:paraId="42561EC1" w14:textId="77777777" w:rsidR="001077AC" w:rsidRPr="001077AC" w:rsidRDefault="001077AC" w:rsidP="001077AC">
      <w:pPr>
        <w:spacing w:after="0" w:line="240" w:lineRule="auto"/>
        <w:jc w:val="both"/>
        <w:rPr>
          <w:rStyle w:val="Strong"/>
          <w:rFonts w:cstheme="minorHAnsi"/>
          <w:i/>
          <w:color w:val="2E74B5"/>
        </w:rPr>
      </w:pPr>
    </w:p>
    <w:p w14:paraId="7CE6B71D" w14:textId="77777777" w:rsidR="001077AC" w:rsidRPr="001077AC" w:rsidRDefault="001077AC" w:rsidP="001077AC">
      <w:pPr>
        <w:spacing w:after="0" w:line="240" w:lineRule="auto"/>
        <w:jc w:val="both"/>
        <w:rPr>
          <w:rStyle w:val="Strong"/>
          <w:rFonts w:cstheme="minorHAnsi"/>
          <w:i/>
          <w:color w:val="2E74B5"/>
        </w:rPr>
      </w:pPr>
    </w:p>
    <w:p w14:paraId="3A0BCE0B" w14:textId="77777777" w:rsidR="001077AC" w:rsidRPr="001077AC" w:rsidRDefault="001077AC" w:rsidP="001077AC">
      <w:pPr>
        <w:spacing w:after="0" w:line="240" w:lineRule="auto"/>
        <w:jc w:val="both"/>
        <w:rPr>
          <w:rStyle w:val="Strong"/>
          <w:rFonts w:cstheme="minorHAnsi"/>
          <w:i/>
          <w:color w:val="2E74B5"/>
        </w:rPr>
      </w:pPr>
    </w:p>
    <w:p w14:paraId="71EC553C" w14:textId="77777777" w:rsidR="001077AC" w:rsidRPr="001077AC" w:rsidRDefault="001077AC" w:rsidP="001077AC">
      <w:pPr>
        <w:spacing w:after="0" w:line="240" w:lineRule="auto"/>
        <w:jc w:val="both"/>
        <w:rPr>
          <w:rStyle w:val="Strong"/>
          <w:rFonts w:cstheme="minorHAnsi"/>
          <w:i/>
          <w:color w:val="2E74B5"/>
        </w:rPr>
      </w:pPr>
    </w:p>
    <w:p w14:paraId="128EC574" w14:textId="77777777" w:rsidR="001077AC" w:rsidRPr="001077AC" w:rsidRDefault="001077AC" w:rsidP="001077AC">
      <w:pPr>
        <w:spacing w:after="0" w:line="240" w:lineRule="auto"/>
        <w:jc w:val="both"/>
        <w:rPr>
          <w:rStyle w:val="Strong"/>
          <w:rFonts w:cstheme="minorHAnsi"/>
          <w:i/>
          <w:color w:val="2E74B5"/>
        </w:rPr>
      </w:pPr>
    </w:p>
    <w:p w14:paraId="0A39A0ED" w14:textId="77777777" w:rsidR="001077AC" w:rsidRPr="001077AC" w:rsidRDefault="001077AC" w:rsidP="001077AC">
      <w:pPr>
        <w:spacing w:after="0" w:line="240" w:lineRule="auto"/>
        <w:jc w:val="both"/>
        <w:rPr>
          <w:rStyle w:val="Strong"/>
          <w:rFonts w:cstheme="minorHAnsi"/>
          <w:i/>
          <w:color w:val="2E74B5"/>
        </w:rPr>
      </w:pPr>
    </w:p>
    <w:p w14:paraId="5FDF56E6" w14:textId="77777777" w:rsidR="001077AC" w:rsidRPr="001077AC" w:rsidRDefault="001077AC" w:rsidP="001077AC">
      <w:pPr>
        <w:spacing w:after="0" w:line="240" w:lineRule="auto"/>
        <w:jc w:val="both"/>
        <w:rPr>
          <w:rStyle w:val="Strong"/>
          <w:rFonts w:cstheme="minorHAnsi"/>
          <w:i/>
          <w:color w:val="2E74B5"/>
        </w:rPr>
      </w:pPr>
    </w:p>
    <w:p w14:paraId="1615953E" w14:textId="77777777" w:rsidR="001077AC" w:rsidRPr="001077AC" w:rsidRDefault="001077AC" w:rsidP="001077AC">
      <w:pPr>
        <w:spacing w:after="0" w:line="240" w:lineRule="auto"/>
        <w:jc w:val="both"/>
        <w:rPr>
          <w:rStyle w:val="Strong"/>
          <w:rFonts w:cstheme="minorHAnsi"/>
          <w:i/>
          <w:color w:val="2E74B5"/>
        </w:rPr>
      </w:pPr>
    </w:p>
    <w:p w14:paraId="550B1D46" w14:textId="77777777" w:rsidR="001077AC" w:rsidRPr="001077AC" w:rsidRDefault="001077AC" w:rsidP="001077AC">
      <w:pPr>
        <w:spacing w:after="0" w:line="240" w:lineRule="auto"/>
        <w:jc w:val="both"/>
        <w:rPr>
          <w:rStyle w:val="Strong"/>
          <w:rFonts w:cstheme="minorHAnsi"/>
          <w:i/>
          <w:color w:val="2E74B5"/>
        </w:rPr>
      </w:pPr>
    </w:p>
    <w:p w14:paraId="266EF7A6" w14:textId="77777777" w:rsidR="001077AC" w:rsidRPr="001077AC" w:rsidRDefault="001077AC" w:rsidP="001077AC">
      <w:pPr>
        <w:spacing w:after="0" w:line="240" w:lineRule="auto"/>
        <w:jc w:val="both"/>
      </w:pPr>
      <w:r w:rsidRPr="001077AC">
        <w:t>Figure 14. 2014 distribution of wages and salaries by age group</w:t>
      </w:r>
    </w:p>
    <w:p w14:paraId="0A1F6064" w14:textId="77777777" w:rsidR="001077AC" w:rsidRPr="001077AC" w:rsidRDefault="001077AC" w:rsidP="001077AC">
      <w:pPr>
        <w:spacing w:after="0" w:line="240" w:lineRule="auto"/>
        <w:jc w:val="both"/>
        <w:rPr>
          <w:rStyle w:val="Strong"/>
          <w:rFonts w:cstheme="minorHAnsi"/>
          <w:b w:val="0"/>
        </w:rPr>
      </w:pPr>
      <w:r w:rsidRPr="001077AC">
        <w:rPr>
          <w:rStyle w:val="Strong"/>
          <w:rFonts w:cstheme="minorHAnsi"/>
          <w:b w:val="0"/>
        </w:rPr>
        <w:t>Figure 15. 2015 distribution of wages and salaries by age group</w:t>
      </w:r>
    </w:p>
    <w:p w14:paraId="70C1A1EF" w14:textId="77777777" w:rsidR="001077AC" w:rsidRPr="001077AC" w:rsidRDefault="001077AC" w:rsidP="001077AC">
      <w:pPr>
        <w:spacing w:after="0" w:line="240" w:lineRule="auto"/>
        <w:jc w:val="both"/>
        <w:rPr>
          <w:rStyle w:val="Strong"/>
          <w:rFonts w:cstheme="minorHAnsi"/>
          <w:i/>
          <w:color w:val="2E74B5"/>
        </w:rPr>
      </w:pPr>
      <w:r w:rsidRPr="001077AC">
        <w:rPr>
          <w:b/>
          <w:bCs/>
          <w:i/>
          <w:noProof/>
          <w:color w:val="2E74B5"/>
          <w:lang w:val="en-AU" w:eastAsia="en-AU"/>
        </w:rPr>
        <w:drawing>
          <wp:anchor distT="0" distB="0" distL="114300" distR="114300" simplePos="0" relativeHeight="251680768" behindDoc="0" locked="0" layoutInCell="1" allowOverlap="1" wp14:anchorId="35E6A55D" wp14:editId="6C62A63E">
            <wp:simplePos x="0" y="0"/>
            <wp:positionH relativeFrom="margin">
              <wp:posOffset>3546117</wp:posOffset>
            </wp:positionH>
            <wp:positionV relativeFrom="paragraph">
              <wp:posOffset>83185</wp:posOffset>
            </wp:positionV>
            <wp:extent cx="3165475" cy="1776730"/>
            <wp:effectExtent l="0" t="0" r="0" b="0"/>
            <wp:wrapNone/>
            <wp:docPr id="1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pic:cNvPicPr>
                      <a:picLocks noChangeAspect="1"/>
                    </pic:cNvPicPr>
                  </pic:nvPicPr>
                  <pic:blipFill>
                    <a:blip r:embed="rId29"/>
                    <a:stretch>
                      <a:fillRect/>
                    </a:stretch>
                  </pic:blipFill>
                  <pic:spPr>
                    <a:xfrm>
                      <a:off x="0" y="0"/>
                      <a:ext cx="3165475" cy="1776730"/>
                    </a:xfrm>
                    <a:prstGeom prst="rect">
                      <a:avLst/>
                    </a:prstGeom>
                  </pic:spPr>
                </pic:pic>
              </a:graphicData>
            </a:graphic>
            <wp14:sizeRelH relativeFrom="margin">
              <wp14:pctWidth>0</wp14:pctWidth>
            </wp14:sizeRelH>
            <wp14:sizeRelV relativeFrom="margin">
              <wp14:pctHeight>0</wp14:pctHeight>
            </wp14:sizeRelV>
          </wp:anchor>
        </w:drawing>
      </w:r>
    </w:p>
    <w:p w14:paraId="4F6E4436" w14:textId="77777777" w:rsidR="001077AC" w:rsidRPr="001077AC" w:rsidRDefault="001077AC" w:rsidP="001077AC">
      <w:pPr>
        <w:spacing w:after="0" w:line="240" w:lineRule="auto"/>
        <w:jc w:val="both"/>
        <w:rPr>
          <w:rStyle w:val="Strong"/>
          <w:rFonts w:cstheme="minorHAnsi"/>
          <w:i/>
          <w:color w:val="2E74B5"/>
        </w:rPr>
      </w:pPr>
    </w:p>
    <w:p w14:paraId="543BA528" w14:textId="77777777" w:rsidR="001077AC" w:rsidRPr="001077AC" w:rsidRDefault="001077AC" w:rsidP="001077AC">
      <w:pPr>
        <w:spacing w:after="0" w:line="240" w:lineRule="auto"/>
        <w:jc w:val="both"/>
        <w:rPr>
          <w:rStyle w:val="Strong"/>
          <w:rFonts w:cstheme="minorHAnsi"/>
          <w:i/>
          <w:color w:val="2E74B5"/>
        </w:rPr>
      </w:pPr>
    </w:p>
    <w:p w14:paraId="0F3BCBB2" w14:textId="77777777" w:rsidR="001077AC" w:rsidRPr="001077AC" w:rsidRDefault="001077AC" w:rsidP="001077AC">
      <w:pPr>
        <w:spacing w:after="0" w:line="240" w:lineRule="auto"/>
        <w:jc w:val="both"/>
        <w:rPr>
          <w:rStyle w:val="Strong"/>
          <w:rFonts w:cstheme="minorHAnsi"/>
          <w:i/>
          <w:color w:val="2E74B5"/>
        </w:rPr>
      </w:pPr>
    </w:p>
    <w:p w14:paraId="04022F2E" w14:textId="77777777" w:rsidR="001077AC" w:rsidRPr="001077AC" w:rsidRDefault="001077AC" w:rsidP="001077AC">
      <w:pPr>
        <w:spacing w:after="0" w:line="240" w:lineRule="auto"/>
        <w:jc w:val="both"/>
        <w:rPr>
          <w:rStyle w:val="Strong"/>
          <w:rFonts w:cstheme="minorHAnsi"/>
          <w:i/>
          <w:color w:val="2E74B5"/>
        </w:rPr>
      </w:pPr>
    </w:p>
    <w:p w14:paraId="62D89E13" w14:textId="77777777" w:rsidR="001077AC" w:rsidRPr="001077AC" w:rsidRDefault="001077AC" w:rsidP="001077AC">
      <w:pPr>
        <w:spacing w:after="0" w:line="240" w:lineRule="auto"/>
        <w:jc w:val="both"/>
        <w:rPr>
          <w:rStyle w:val="Strong"/>
          <w:rFonts w:cstheme="minorHAnsi"/>
          <w:i/>
          <w:color w:val="2E74B5"/>
        </w:rPr>
      </w:pPr>
    </w:p>
    <w:p w14:paraId="2B3518BE" w14:textId="77777777" w:rsidR="001077AC" w:rsidRPr="001077AC" w:rsidRDefault="001077AC" w:rsidP="001077AC">
      <w:pPr>
        <w:spacing w:after="0" w:line="240" w:lineRule="auto"/>
        <w:jc w:val="both"/>
        <w:rPr>
          <w:rStyle w:val="Strong"/>
          <w:rFonts w:cstheme="minorHAnsi"/>
          <w:i/>
          <w:color w:val="2E74B5"/>
        </w:rPr>
      </w:pPr>
    </w:p>
    <w:p w14:paraId="2F0302B2" w14:textId="77777777" w:rsidR="001077AC" w:rsidRPr="001077AC" w:rsidRDefault="001077AC" w:rsidP="001077AC">
      <w:pPr>
        <w:spacing w:after="0" w:line="240" w:lineRule="auto"/>
        <w:jc w:val="both"/>
        <w:rPr>
          <w:rStyle w:val="Strong"/>
          <w:rFonts w:cstheme="minorHAnsi"/>
          <w:i/>
          <w:color w:val="2E74B5"/>
        </w:rPr>
      </w:pPr>
    </w:p>
    <w:p w14:paraId="218B400E" w14:textId="77777777" w:rsidR="001077AC" w:rsidRPr="001077AC" w:rsidRDefault="001077AC" w:rsidP="001077AC">
      <w:pPr>
        <w:spacing w:after="0" w:line="240" w:lineRule="auto"/>
        <w:jc w:val="both"/>
        <w:rPr>
          <w:rStyle w:val="Strong"/>
          <w:rFonts w:cstheme="minorHAnsi"/>
          <w:i/>
          <w:color w:val="2E74B5"/>
        </w:rPr>
      </w:pPr>
    </w:p>
    <w:p w14:paraId="7625274F" w14:textId="77777777" w:rsidR="001077AC" w:rsidRPr="001077AC" w:rsidRDefault="001077AC" w:rsidP="001077AC">
      <w:pPr>
        <w:spacing w:after="0" w:line="240" w:lineRule="auto"/>
        <w:jc w:val="both"/>
        <w:rPr>
          <w:rStyle w:val="Strong"/>
          <w:rFonts w:cstheme="minorHAnsi"/>
          <w:i/>
          <w:color w:val="2E74B5"/>
        </w:rPr>
      </w:pPr>
    </w:p>
    <w:p w14:paraId="0A61F3D2" w14:textId="77777777" w:rsidR="001077AC" w:rsidRPr="001077AC" w:rsidRDefault="001077AC" w:rsidP="001077AC">
      <w:pPr>
        <w:spacing w:after="0" w:line="240" w:lineRule="auto"/>
        <w:jc w:val="both"/>
        <w:rPr>
          <w:rStyle w:val="Strong"/>
          <w:rFonts w:cstheme="minorHAnsi"/>
          <w:i/>
          <w:color w:val="2E74B5"/>
        </w:rPr>
      </w:pPr>
    </w:p>
    <w:p w14:paraId="6AD364FA" w14:textId="77777777" w:rsidR="001077AC" w:rsidRPr="001077AC" w:rsidRDefault="001077AC" w:rsidP="001077AC">
      <w:pPr>
        <w:spacing w:after="0" w:line="240" w:lineRule="auto"/>
        <w:jc w:val="both"/>
        <w:rPr>
          <w:rStyle w:val="Strong"/>
          <w:rFonts w:cstheme="minorHAnsi"/>
          <w:i/>
          <w:color w:val="2E74B5"/>
        </w:rPr>
      </w:pPr>
    </w:p>
    <w:p w14:paraId="4AD5B2AC" w14:textId="77777777" w:rsidR="001077AC" w:rsidRPr="001077AC" w:rsidRDefault="001077AC" w:rsidP="001077AC">
      <w:pPr>
        <w:spacing w:after="0" w:line="240" w:lineRule="auto"/>
        <w:jc w:val="both"/>
        <w:rPr>
          <w:rStyle w:val="Strong"/>
          <w:rFonts w:cstheme="minorHAnsi"/>
          <w:i/>
          <w:color w:val="2E74B5"/>
        </w:rPr>
      </w:pPr>
    </w:p>
    <w:p w14:paraId="03344109" w14:textId="77777777" w:rsidR="001077AC" w:rsidRDefault="001077AC" w:rsidP="001077AC">
      <w:pPr>
        <w:spacing w:after="0" w:line="240" w:lineRule="auto"/>
        <w:jc w:val="both"/>
        <w:rPr>
          <w:rStyle w:val="Strong"/>
          <w:rFonts w:cstheme="minorHAnsi"/>
          <w:i/>
          <w:color w:val="2E74B5"/>
          <w:sz w:val="20"/>
          <w:szCs w:val="20"/>
        </w:rPr>
        <w:sectPr w:rsidR="001077AC" w:rsidSect="001077AC">
          <w:type w:val="continuous"/>
          <w:pgSz w:w="11906" w:h="16838"/>
          <w:pgMar w:top="720" w:right="720" w:bottom="720" w:left="720" w:header="720" w:footer="720" w:gutter="0"/>
          <w:cols w:num="2" w:space="720"/>
          <w:docGrid w:linePitch="360"/>
        </w:sectPr>
      </w:pPr>
    </w:p>
    <w:p w14:paraId="06AFB3DD" w14:textId="77777777" w:rsidR="001077AC" w:rsidRPr="00AF457F" w:rsidRDefault="001077AC" w:rsidP="001077AC">
      <w:pPr>
        <w:spacing w:after="0" w:line="240" w:lineRule="auto"/>
        <w:jc w:val="both"/>
        <w:rPr>
          <w:rStyle w:val="Strong"/>
          <w:rFonts w:cstheme="minorHAnsi"/>
          <w:i/>
          <w:color w:val="2E74B5"/>
          <w:sz w:val="20"/>
          <w:szCs w:val="20"/>
        </w:rPr>
      </w:pPr>
      <w:r w:rsidRPr="001077AC">
        <w:rPr>
          <w:b/>
          <w:bCs/>
          <w:i/>
          <w:noProof/>
          <w:color w:val="2E74B5"/>
          <w:lang w:val="en-AU" w:eastAsia="en-AU"/>
        </w:rPr>
        <w:drawing>
          <wp:anchor distT="0" distB="0" distL="114300" distR="114300" simplePos="0" relativeHeight="251682816" behindDoc="0" locked="0" layoutInCell="1" allowOverlap="1" wp14:anchorId="1F9080FA" wp14:editId="05B0B264">
            <wp:simplePos x="0" y="0"/>
            <wp:positionH relativeFrom="column">
              <wp:posOffset>-54394</wp:posOffset>
            </wp:positionH>
            <wp:positionV relativeFrom="paragraph">
              <wp:posOffset>2540</wp:posOffset>
            </wp:positionV>
            <wp:extent cx="3165894" cy="1828800"/>
            <wp:effectExtent l="0" t="0" r="0" b="0"/>
            <wp:wrapNone/>
            <wp:docPr id="1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30"/>
                    <a:stretch>
                      <a:fillRect/>
                    </a:stretch>
                  </pic:blipFill>
                  <pic:spPr>
                    <a:xfrm>
                      <a:off x="0" y="0"/>
                      <a:ext cx="3165894" cy="1828800"/>
                    </a:xfrm>
                    <a:prstGeom prst="rect">
                      <a:avLst/>
                    </a:prstGeom>
                  </pic:spPr>
                </pic:pic>
              </a:graphicData>
            </a:graphic>
            <wp14:sizeRelH relativeFrom="margin">
              <wp14:pctWidth>0</wp14:pctWidth>
            </wp14:sizeRelH>
            <wp14:sizeRelV relativeFrom="margin">
              <wp14:pctHeight>0</wp14:pctHeight>
            </wp14:sizeRelV>
          </wp:anchor>
        </w:drawing>
      </w:r>
    </w:p>
    <w:p w14:paraId="1D93E49B" w14:textId="77777777" w:rsidR="001077AC" w:rsidRPr="00AF457F" w:rsidRDefault="001077AC" w:rsidP="001077AC">
      <w:pPr>
        <w:spacing w:after="0" w:line="240" w:lineRule="auto"/>
        <w:jc w:val="both"/>
        <w:rPr>
          <w:rStyle w:val="Strong"/>
          <w:rFonts w:cstheme="minorHAnsi"/>
          <w:i/>
          <w:color w:val="2E74B5"/>
          <w:sz w:val="20"/>
          <w:szCs w:val="20"/>
        </w:rPr>
      </w:pPr>
    </w:p>
    <w:p w14:paraId="4DB5C512" w14:textId="77777777" w:rsidR="001077AC" w:rsidRDefault="001077AC" w:rsidP="001077AC">
      <w:pPr>
        <w:spacing w:line="240" w:lineRule="auto"/>
        <w:jc w:val="both"/>
        <w:rPr>
          <w:rFonts w:cstheme="minorHAnsi"/>
        </w:rPr>
      </w:pPr>
    </w:p>
    <w:p w14:paraId="51562C07" w14:textId="77777777" w:rsidR="001E2150" w:rsidRDefault="001E2150" w:rsidP="001077AC">
      <w:pPr>
        <w:spacing w:line="240" w:lineRule="auto"/>
        <w:jc w:val="both"/>
        <w:rPr>
          <w:rFonts w:cstheme="minorHAnsi"/>
        </w:rPr>
      </w:pPr>
    </w:p>
    <w:p w14:paraId="71E3DAA9" w14:textId="77777777" w:rsidR="001E2150" w:rsidRDefault="001E2150" w:rsidP="001077AC">
      <w:pPr>
        <w:spacing w:line="240" w:lineRule="auto"/>
        <w:jc w:val="both"/>
        <w:rPr>
          <w:rFonts w:cstheme="minorHAnsi"/>
        </w:rPr>
      </w:pPr>
    </w:p>
    <w:p w14:paraId="4D488898" w14:textId="77777777" w:rsidR="001E2150" w:rsidRDefault="001E2150" w:rsidP="001077AC">
      <w:pPr>
        <w:spacing w:line="240" w:lineRule="auto"/>
        <w:jc w:val="both"/>
        <w:rPr>
          <w:rFonts w:cstheme="minorHAnsi"/>
        </w:rPr>
      </w:pPr>
    </w:p>
    <w:p w14:paraId="72AD0B27" w14:textId="77777777" w:rsidR="001E2150" w:rsidRDefault="001E2150" w:rsidP="001077AC">
      <w:pPr>
        <w:spacing w:line="240" w:lineRule="auto"/>
        <w:jc w:val="both"/>
        <w:rPr>
          <w:rFonts w:cstheme="minorHAnsi"/>
        </w:rPr>
      </w:pPr>
    </w:p>
    <w:p w14:paraId="7391D27F" w14:textId="77777777" w:rsidR="001E2150" w:rsidRPr="00FE5B09" w:rsidRDefault="001E2150" w:rsidP="001077AC">
      <w:pPr>
        <w:spacing w:line="240" w:lineRule="auto"/>
        <w:jc w:val="both"/>
        <w:rPr>
          <w:rFonts w:cstheme="minorHAnsi"/>
          <w:color w:val="008080"/>
        </w:rPr>
      </w:pPr>
    </w:p>
    <w:p w14:paraId="3C4551BD" w14:textId="77777777" w:rsidR="001E2150" w:rsidRPr="00FE5B09" w:rsidRDefault="001E2150" w:rsidP="001E2150">
      <w:pPr>
        <w:pStyle w:val="Heading4"/>
        <w:spacing w:before="0"/>
        <w:rPr>
          <w:i w:val="0"/>
          <w:color w:val="008080"/>
        </w:rPr>
      </w:pPr>
      <w:r w:rsidRPr="00FE5B09">
        <w:rPr>
          <w:i w:val="0"/>
          <w:color w:val="008080"/>
        </w:rPr>
        <w:t>Income from self-employment</w:t>
      </w:r>
    </w:p>
    <w:p w14:paraId="4A5DA663" w14:textId="77777777" w:rsidR="00FE5B09" w:rsidRDefault="001E2150" w:rsidP="00FE5B09">
      <w:pPr>
        <w:spacing w:after="0" w:line="240" w:lineRule="auto"/>
        <w:jc w:val="both"/>
        <w:rPr>
          <w:rStyle w:val="Strong"/>
          <w:rFonts w:cstheme="minorHAnsi"/>
          <w:b w:val="0"/>
        </w:rPr>
      </w:pPr>
      <w:r w:rsidRPr="001E2150">
        <w:t>Figures 16, 17 and 18 illustrate the distribution of income from self-employment, by age group, for the unlinked HES data, tax data and linked HES-IDI dataset.</w:t>
      </w:r>
      <w:r w:rsidR="00FE5B09" w:rsidRPr="00FE5B09">
        <w:t xml:space="preserve"> </w:t>
      </w:r>
      <w:r w:rsidR="00FE5B09" w:rsidRPr="00FE5B09">
        <w:rPr>
          <w:rStyle w:val="Strong"/>
          <w:rFonts w:cstheme="minorHAnsi"/>
          <w:b w:val="0"/>
        </w:rPr>
        <w:t xml:space="preserve">Data for some age groups have been suppressed in the graphs due to quality issues. </w:t>
      </w:r>
    </w:p>
    <w:p w14:paraId="05C4FEEF" w14:textId="77777777" w:rsidR="00FE5B09" w:rsidRDefault="00FE5B09" w:rsidP="00FE5B09">
      <w:pPr>
        <w:spacing w:after="0" w:line="240" w:lineRule="auto"/>
        <w:jc w:val="both"/>
        <w:rPr>
          <w:rStyle w:val="Strong"/>
          <w:rFonts w:cstheme="minorHAnsi"/>
          <w:b w:val="0"/>
        </w:rPr>
      </w:pPr>
    </w:p>
    <w:p w14:paraId="7174B791" w14:textId="77777777" w:rsidR="00FE5B09" w:rsidRPr="00FE5B09" w:rsidRDefault="00FE5B09" w:rsidP="00FE5B09">
      <w:pPr>
        <w:spacing w:after="0" w:line="240" w:lineRule="auto"/>
        <w:jc w:val="both"/>
        <w:rPr>
          <w:rStyle w:val="Strong"/>
          <w:rFonts w:cstheme="minorHAnsi"/>
          <w:b w:val="0"/>
        </w:rPr>
      </w:pPr>
      <w:r w:rsidRPr="00FE5B09">
        <w:rPr>
          <w:rStyle w:val="Strong"/>
          <w:rFonts w:cstheme="minorHAnsi"/>
          <w:b w:val="0"/>
        </w:rPr>
        <w:t>The following can be observed from the graphs:</w:t>
      </w:r>
    </w:p>
    <w:p w14:paraId="25B31DFA" w14:textId="77777777" w:rsidR="00FE5B09" w:rsidRPr="00FE5B09" w:rsidRDefault="00FE5B09" w:rsidP="00FE5B09">
      <w:pPr>
        <w:pStyle w:val="ListParagraph"/>
        <w:numPr>
          <w:ilvl w:val="0"/>
          <w:numId w:val="12"/>
        </w:numPr>
        <w:spacing w:line="240" w:lineRule="auto"/>
        <w:ind w:left="450"/>
        <w:jc w:val="both"/>
        <w:rPr>
          <w:rFonts w:cstheme="minorHAnsi"/>
        </w:rPr>
      </w:pPr>
      <w:r w:rsidRPr="00FE5B09">
        <w:rPr>
          <w:rFonts w:cstheme="minorHAnsi"/>
        </w:rPr>
        <w:t>Estimates from the original HES sample are similar to estimates obtained from the linked HES-IDI sample for 2014 and 2015.</w:t>
      </w:r>
    </w:p>
    <w:p w14:paraId="6391D3AA" w14:textId="77777777" w:rsidR="00FE5B09" w:rsidRPr="00B336AF" w:rsidRDefault="00FE5B09" w:rsidP="00B336AF">
      <w:pPr>
        <w:pStyle w:val="ListParagraph"/>
        <w:numPr>
          <w:ilvl w:val="0"/>
          <w:numId w:val="12"/>
        </w:numPr>
        <w:spacing w:line="240" w:lineRule="auto"/>
        <w:ind w:left="450"/>
        <w:jc w:val="both"/>
        <w:rPr>
          <w:rFonts w:cstheme="minorHAnsi"/>
        </w:rPr>
        <w:sectPr w:rsidR="00FE5B09" w:rsidRPr="00B336AF" w:rsidSect="00791752">
          <w:type w:val="continuous"/>
          <w:pgSz w:w="11906" w:h="16838"/>
          <w:pgMar w:top="720" w:right="720" w:bottom="720" w:left="720" w:header="720" w:footer="720" w:gutter="0"/>
          <w:cols w:space="720"/>
          <w:docGrid w:linePitch="360"/>
        </w:sectPr>
      </w:pPr>
      <w:r w:rsidRPr="00FE5B09">
        <w:rPr>
          <w:rFonts w:cstheme="minorHAnsi"/>
        </w:rPr>
        <w:t>There are large discrepancies between mean annual income obtained from the HES and IRD data. These may be attributed to the computation of income from the IRD data. Although most of the income derived from this source of income is reported to IRD annually, some components are reported monthly and had to be mapped accordingly in the computation for annual income. Therefore, the difference is mostly attributed to mapping errors in self-employment income.</w:t>
      </w:r>
    </w:p>
    <w:p w14:paraId="6C720469" w14:textId="77777777" w:rsidR="00FE5B09" w:rsidRPr="00FE5B09" w:rsidRDefault="00FE5B09" w:rsidP="00FE5B09">
      <w:pPr>
        <w:spacing w:after="0" w:line="240" w:lineRule="auto"/>
        <w:jc w:val="both"/>
      </w:pPr>
      <w:r w:rsidRPr="00FE5B09">
        <w:lastRenderedPageBreak/>
        <w:t>Figure 16. 2013 distribution of income from self-employment by age group</w:t>
      </w:r>
    </w:p>
    <w:p w14:paraId="6D20204F" w14:textId="77777777" w:rsidR="00FE5B09" w:rsidRPr="00FE5B09" w:rsidRDefault="00FE5B09" w:rsidP="00FE5B09">
      <w:r w:rsidRPr="00FE5B09">
        <w:rPr>
          <w:b/>
          <w:bCs/>
          <w:i/>
          <w:noProof/>
          <w:color w:val="2E74B5"/>
          <w:lang w:val="en-AU" w:eastAsia="en-AU"/>
        </w:rPr>
        <w:drawing>
          <wp:anchor distT="0" distB="0" distL="114300" distR="114300" simplePos="0" relativeHeight="251684864" behindDoc="0" locked="0" layoutInCell="1" allowOverlap="1" wp14:anchorId="66B86950" wp14:editId="4BAD0ABD">
            <wp:simplePos x="0" y="0"/>
            <wp:positionH relativeFrom="margin">
              <wp:posOffset>2540</wp:posOffset>
            </wp:positionH>
            <wp:positionV relativeFrom="paragraph">
              <wp:posOffset>8890</wp:posOffset>
            </wp:positionV>
            <wp:extent cx="3171825" cy="1905635"/>
            <wp:effectExtent l="0" t="0" r="9525" b="0"/>
            <wp:wrapNone/>
            <wp:docPr id="1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31"/>
                    <a:stretch>
                      <a:fillRect/>
                    </a:stretch>
                  </pic:blipFill>
                  <pic:spPr>
                    <a:xfrm>
                      <a:off x="0" y="0"/>
                      <a:ext cx="3171825" cy="1905635"/>
                    </a:xfrm>
                    <a:prstGeom prst="rect">
                      <a:avLst/>
                    </a:prstGeom>
                  </pic:spPr>
                </pic:pic>
              </a:graphicData>
            </a:graphic>
            <wp14:sizeRelH relativeFrom="margin">
              <wp14:pctWidth>0</wp14:pctWidth>
            </wp14:sizeRelH>
            <wp14:sizeRelV relativeFrom="margin">
              <wp14:pctHeight>0</wp14:pctHeight>
            </wp14:sizeRelV>
          </wp:anchor>
        </w:drawing>
      </w:r>
    </w:p>
    <w:p w14:paraId="048473C2" w14:textId="77777777" w:rsidR="00FE5B09" w:rsidRPr="00FE5B09" w:rsidRDefault="00FE5B09" w:rsidP="00FE5B09">
      <w:pPr>
        <w:spacing w:after="0" w:line="240" w:lineRule="auto"/>
        <w:jc w:val="both"/>
        <w:rPr>
          <w:rStyle w:val="Strong"/>
          <w:rFonts w:cstheme="minorHAnsi"/>
          <w:b w:val="0"/>
        </w:rPr>
      </w:pPr>
    </w:p>
    <w:p w14:paraId="68599318" w14:textId="77777777" w:rsidR="00FE5B09" w:rsidRPr="00FE5B09" w:rsidRDefault="00FE5B09" w:rsidP="00FE5B09">
      <w:pPr>
        <w:spacing w:after="0" w:line="240" w:lineRule="auto"/>
        <w:jc w:val="both"/>
        <w:rPr>
          <w:rStyle w:val="Strong"/>
          <w:rFonts w:cstheme="minorHAnsi"/>
          <w:i/>
          <w:color w:val="2E74B5"/>
        </w:rPr>
      </w:pPr>
    </w:p>
    <w:p w14:paraId="4F6CF3B5" w14:textId="77777777" w:rsidR="00FE5B09" w:rsidRPr="00FE5B09" w:rsidRDefault="00FE5B09" w:rsidP="00FE5B09">
      <w:pPr>
        <w:spacing w:after="0" w:line="240" w:lineRule="auto"/>
        <w:jc w:val="both"/>
        <w:rPr>
          <w:rStyle w:val="Strong"/>
          <w:rFonts w:cstheme="minorHAnsi"/>
          <w:i/>
          <w:color w:val="2E74B5"/>
        </w:rPr>
      </w:pPr>
    </w:p>
    <w:p w14:paraId="21CE477D" w14:textId="77777777" w:rsidR="00FE5B09" w:rsidRPr="00FE5B09" w:rsidRDefault="00FE5B09" w:rsidP="00FE5B09">
      <w:pPr>
        <w:spacing w:after="0" w:line="240" w:lineRule="auto"/>
        <w:jc w:val="both"/>
        <w:rPr>
          <w:rStyle w:val="Strong"/>
          <w:rFonts w:cstheme="minorHAnsi"/>
          <w:i/>
          <w:color w:val="2E74B5"/>
        </w:rPr>
      </w:pPr>
    </w:p>
    <w:p w14:paraId="01994CFF" w14:textId="77777777" w:rsidR="00FE5B09" w:rsidRPr="00FE5B09" w:rsidRDefault="00FE5B09" w:rsidP="00FE5B09">
      <w:pPr>
        <w:spacing w:after="0" w:line="240" w:lineRule="auto"/>
        <w:jc w:val="both"/>
        <w:rPr>
          <w:rStyle w:val="Strong"/>
          <w:rFonts w:cstheme="minorHAnsi"/>
          <w:i/>
          <w:color w:val="2E74B5"/>
        </w:rPr>
      </w:pPr>
    </w:p>
    <w:p w14:paraId="712B8A28" w14:textId="77777777" w:rsidR="00FE5B09" w:rsidRPr="00FE5B09" w:rsidRDefault="00FE5B09" w:rsidP="00FE5B09">
      <w:pPr>
        <w:spacing w:after="0" w:line="240" w:lineRule="auto"/>
        <w:jc w:val="both"/>
        <w:rPr>
          <w:rStyle w:val="Strong"/>
          <w:rFonts w:cstheme="minorHAnsi"/>
          <w:i/>
          <w:color w:val="2E74B5"/>
        </w:rPr>
      </w:pPr>
    </w:p>
    <w:p w14:paraId="2E60113A" w14:textId="77777777" w:rsidR="00FE5B09" w:rsidRPr="00FE5B09" w:rsidRDefault="00FE5B09" w:rsidP="00FE5B09">
      <w:pPr>
        <w:spacing w:after="0" w:line="240" w:lineRule="auto"/>
        <w:jc w:val="both"/>
        <w:rPr>
          <w:rStyle w:val="Strong"/>
          <w:rFonts w:cstheme="minorHAnsi"/>
          <w:i/>
          <w:color w:val="2E74B5"/>
        </w:rPr>
      </w:pPr>
    </w:p>
    <w:p w14:paraId="3681A447" w14:textId="77777777" w:rsidR="00FE5B09" w:rsidRPr="00FE5B09" w:rsidRDefault="00FE5B09" w:rsidP="00FE5B09">
      <w:pPr>
        <w:spacing w:after="0" w:line="240" w:lineRule="auto"/>
        <w:jc w:val="both"/>
        <w:rPr>
          <w:rStyle w:val="Strong"/>
          <w:rFonts w:cstheme="minorHAnsi"/>
          <w:i/>
          <w:color w:val="2E74B5"/>
        </w:rPr>
      </w:pPr>
    </w:p>
    <w:p w14:paraId="26881934" w14:textId="77777777" w:rsidR="00FE5B09" w:rsidRPr="00FE5B09" w:rsidRDefault="00FE5B09" w:rsidP="00FE5B09">
      <w:pPr>
        <w:spacing w:after="0" w:line="240" w:lineRule="auto"/>
        <w:jc w:val="both"/>
      </w:pPr>
    </w:p>
    <w:p w14:paraId="4E3B9876" w14:textId="77777777" w:rsidR="00B15747" w:rsidRDefault="00B15747" w:rsidP="00FE5B09">
      <w:pPr>
        <w:spacing w:after="0" w:line="240" w:lineRule="auto"/>
        <w:jc w:val="both"/>
      </w:pPr>
    </w:p>
    <w:p w14:paraId="5F54C606" w14:textId="77777777" w:rsidR="00FE5B09" w:rsidRPr="00FE5B09" w:rsidRDefault="00FE5B09" w:rsidP="00FE5B09">
      <w:pPr>
        <w:spacing w:after="0" w:line="240" w:lineRule="auto"/>
        <w:jc w:val="both"/>
      </w:pPr>
      <w:r w:rsidRPr="00FE5B09">
        <w:t>Figure 17. 2014 distribution of income from self-employment by age group</w:t>
      </w:r>
    </w:p>
    <w:p w14:paraId="523DC83E" w14:textId="77777777" w:rsidR="00FE5B09" w:rsidRPr="00FE5B09" w:rsidRDefault="00B15747" w:rsidP="00FE5B09">
      <w:pPr>
        <w:spacing w:after="0" w:line="240" w:lineRule="auto"/>
        <w:jc w:val="both"/>
        <w:rPr>
          <w:rStyle w:val="Strong"/>
          <w:rFonts w:cstheme="minorHAnsi"/>
          <w:i/>
          <w:color w:val="2E74B5"/>
        </w:rPr>
      </w:pPr>
      <w:r w:rsidRPr="00FE5B09">
        <w:rPr>
          <w:b/>
          <w:bCs/>
          <w:i/>
          <w:noProof/>
          <w:color w:val="2E74B5"/>
          <w:lang w:val="en-AU" w:eastAsia="en-AU"/>
        </w:rPr>
        <w:drawing>
          <wp:anchor distT="0" distB="0" distL="114300" distR="114300" simplePos="0" relativeHeight="251685888" behindDoc="0" locked="0" layoutInCell="1" allowOverlap="1" wp14:anchorId="4881C4FC" wp14:editId="356EC699">
            <wp:simplePos x="0" y="0"/>
            <wp:positionH relativeFrom="margin">
              <wp:align>left</wp:align>
            </wp:positionH>
            <wp:positionV relativeFrom="paragraph">
              <wp:posOffset>50827</wp:posOffset>
            </wp:positionV>
            <wp:extent cx="3185160" cy="1914525"/>
            <wp:effectExtent l="0" t="0" r="0" b="9525"/>
            <wp:wrapNone/>
            <wp:docPr id="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r:embed="rId32"/>
                    <a:stretch>
                      <a:fillRect/>
                    </a:stretch>
                  </pic:blipFill>
                  <pic:spPr>
                    <a:xfrm>
                      <a:off x="0" y="0"/>
                      <a:ext cx="3185160" cy="1914525"/>
                    </a:xfrm>
                    <a:prstGeom prst="rect">
                      <a:avLst/>
                    </a:prstGeom>
                  </pic:spPr>
                </pic:pic>
              </a:graphicData>
            </a:graphic>
            <wp14:sizeRelH relativeFrom="margin">
              <wp14:pctWidth>0</wp14:pctWidth>
            </wp14:sizeRelH>
            <wp14:sizeRelV relativeFrom="margin">
              <wp14:pctHeight>0</wp14:pctHeight>
            </wp14:sizeRelV>
          </wp:anchor>
        </w:drawing>
      </w:r>
    </w:p>
    <w:p w14:paraId="2737DA3A" w14:textId="77777777" w:rsidR="00FE5B09" w:rsidRPr="00FE5B09" w:rsidRDefault="00FE5B09" w:rsidP="00FE5B09">
      <w:pPr>
        <w:spacing w:after="0" w:line="240" w:lineRule="auto"/>
        <w:jc w:val="both"/>
        <w:rPr>
          <w:rStyle w:val="Strong"/>
          <w:rFonts w:cstheme="minorHAnsi"/>
          <w:i/>
          <w:color w:val="2E74B5"/>
        </w:rPr>
      </w:pPr>
    </w:p>
    <w:p w14:paraId="24BBA589" w14:textId="77777777" w:rsidR="00FE5B09" w:rsidRPr="00FE5B09" w:rsidRDefault="00FE5B09" w:rsidP="00FE5B09">
      <w:pPr>
        <w:spacing w:after="0" w:line="240" w:lineRule="auto"/>
        <w:jc w:val="both"/>
        <w:rPr>
          <w:rStyle w:val="Strong"/>
          <w:rFonts w:cstheme="minorHAnsi"/>
          <w:i/>
          <w:color w:val="2E74B5"/>
        </w:rPr>
      </w:pPr>
    </w:p>
    <w:p w14:paraId="4DCA30AA" w14:textId="77777777" w:rsidR="00FE5B09" w:rsidRPr="00FE5B09" w:rsidRDefault="00FE5B09" w:rsidP="00FE5B09">
      <w:pPr>
        <w:spacing w:after="0" w:line="240" w:lineRule="auto"/>
        <w:jc w:val="both"/>
        <w:rPr>
          <w:rStyle w:val="Strong"/>
          <w:rFonts w:cstheme="minorHAnsi"/>
          <w:i/>
          <w:color w:val="2E74B5"/>
        </w:rPr>
      </w:pPr>
    </w:p>
    <w:p w14:paraId="60B9D6ED" w14:textId="77777777" w:rsidR="00FE5B09" w:rsidRPr="00FE5B09" w:rsidRDefault="00FE5B09" w:rsidP="00FE5B09">
      <w:pPr>
        <w:spacing w:after="0" w:line="240" w:lineRule="auto"/>
        <w:jc w:val="both"/>
        <w:rPr>
          <w:rStyle w:val="Strong"/>
          <w:rFonts w:cstheme="minorHAnsi"/>
          <w:i/>
          <w:color w:val="2E74B5"/>
        </w:rPr>
      </w:pPr>
    </w:p>
    <w:p w14:paraId="547734E3" w14:textId="77777777" w:rsidR="00FE5B09" w:rsidRPr="00FE5B09" w:rsidRDefault="00FE5B09" w:rsidP="00FE5B09">
      <w:pPr>
        <w:spacing w:after="0" w:line="240" w:lineRule="auto"/>
        <w:jc w:val="both"/>
        <w:rPr>
          <w:rStyle w:val="Strong"/>
          <w:rFonts w:cstheme="minorHAnsi"/>
          <w:i/>
          <w:color w:val="2E74B5"/>
        </w:rPr>
      </w:pPr>
    </w:p>
    <w:p w14:paraId="7C34CCCA" w14:textId="77777777" w:rsidR="00B336AF" w:rsidRDefault="00B336AF" w:rsidP="00FE5B09">
      <w:pPr>
        <w:spacing w:after="0" w:line="240" w:lineRule="auto"/>
        <w:jc w:val="both"/>
        <w:rPr>
          <w:rStyle w:val="Strong"/>
          <w:rFonts w:cstheme="minorHAnsi"/>
          <w:b w:val="0"/>
        </w:rPr>
      </w:pPr>
    </w:p>
    <w:p w14:paraId="10A169E8" w14:textId="77777777" w:rsidR="00FE5B09" w:rsidRPr="00FE5B09" w:rsidRDefault="00FE5B09" w:rsidP="00FE5B09">
      <w:pPr>
        <w:spacing w:after="0" w:line="240" w:lineRule="auto"/>
        <w:jc w:val="both"/>
      </w:pPr>
      <w:r w:rsidRPr="00FE5B09">
        <w:rPr>
          <w:rStyle w:val="Strong"/>
          <w:rFonts w:cstheme="minorHAnsi"/>
          <w:b w:val="0"/>
        </w:rPr>
        <w:t xml:space="preserve">Figure 18. 2015 </w:t>
      </w:r>
      <w:r w:rsidRPr="00FE5B09">
        <w:t>distribution of income from self-employment by age group</w:t>
      </w:r>
    </w:p>
    <w:p w14:paraId="1B689AF6" w14:textId="77777777" w:rsidR="00FE5B09" w:rsidRPr="00FE5B09" w:rsidRDefault="00FE5B09" w:rsidP="00FE5B09">
      <w:pPr>
        <w:spacing w:after="0" w:line="240" w:lineRule="auto"/>
        <w:jc w:val="both"/>
        <w:rPr>
          <w:rStyle w:val="Strong"/>
          <w:rFonts w:cstheme="minorHAnsi"/>
          <w:b w:val="0"/>
        </w:rPr>
      </w:pPr>
      <w:r w:rsidRPr="00BD5060">
        <w:rPr>
          <w:b/>
          <w:bCs/>
          <w:i/>
          <w:noProof/>
          <w:color w:val="2E74B5"/>
          <w:lang w:val="en-AU" w:eastAsia="en-AU"/>
        </w:rPr>
        <w:drawing>
          <wp:anchor distT="0" distB="0" distL="114300" distR="114300" simplePos="0" relativeHeight="251686912" behindDoc="0" locked="0" layoutInCell="1" allowOverlap="1" wp14:anchorId="75C5A742" wp14:editId="3AAE7A59">
            <wp:simplePos x="0" y="0"/>
            <wp:positionH relativeFrom="column">
              <wp:posOffset>-15875</wp:posOffset>
            </wp:positionH>
            <wp:positionV relativeFrom="paragraph">
              <wp:posOffset>74295</wp:posOffset>
            </wp:positionV>
            <wp:extent cx="3182620" cy="1913255"/>
            <wp:effectExtent l="0" t="0" r="0" b="0"/>
            <wp:wrapNone/>
            <wp:docPr id="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r:embed="rId33"/>
                    <a:stretch>
                      <a:fillRect/>
                    </a:stretch>
                  </pic:blipFill>
                  <pic:spPr>
                    <a:xfrm>
                      <a:off x="0" y="0"/>
                      <a:ext cx="3182620" cy="1913255"/>
                    </a:xfrm>
                    <a:prstGeom prst="rect">
                      <a:avLst/>
                    </a:prstGeom>
                  </pic:spPr>
                </pic:pic>
              </a:graphicData>
            </a:graphic>
            <wp14:sizeRelH relativeFrom="margin">
              <wp14:pctWidth>0</wp14:pctWidth>
            </wp14:sizeRelH>
            <wp14:sizeRelV relativeFrom="margin">
              <wp14:pctHeight>0</wp14:pctHeight>
            </wp14:sizeRelV>
          </wp:anchor>
        </w:drawing>
      </w:r>
    </w:p>
    <w:p w14:paraId="170D9341" w14:textId="77777777" w:rsidR="00FE5B09" w:rsidRPr="00FE5B09" w:rsidRDefault="00FE5B09" w:rsidP="00FE5B09">
      <w:pPr>
        <w:spacing w:after="0" w:line="240" w:lineRule="auto"/>
        <w:jc w:val="both"/>
        <w:rPr>
          <w:rStyle w:val="Strong"/>
          <w:rFonts w:cstheme="minorHAnsi"/>
          <w:i/>
          <w:color w:val="2E74B5"/>
        </w:rPr>
      </w:pPr>
    </w:p>
    <w:p w14:paraId="7ED6EDD1" w14:textId="77777777" w:rsidR="00FE5B09" w:rsidRPr="00FE5B09" w:rsidRDefault="00FE5B09" w:rsidP="00FE5B09">
      <w:pPr>
        <w:spacing w:after="0" w:line="240" w:lineRule="auto"/>
        <w:jc w:val="both"/>
        <w:rPr>
          <w:rStyle w:val="Strong"/>
          <w:rFonts w:cstheme="minorHAnsi"/>
          <w:i/>
          <w:color w:val="2E74B5"/>
        </w:rPr>
      </w:pPr>
    </w:p>
    <w:p w14:paraId="166E5687" w14:textId="77777777" w:rsidR="00FE5B09" w:rsidRPr="00FE5B09" w:rsidRDefault="00FE5B09" w:rsidP="00FE5B09">
      <w:pPr>
        <w:spacing w:after="0" w:line="240" w:lineRule="auto"/>
        <w:jc w:val="both"/>
        <w:rPr>
          <w:rStyle w:val="Strong"/>
          <w:rFonts w:cstheme="minorHAnsi"/>
          <w:i/>
          <w:color w:val="2E74B5"/>
        </w:rPr>
      </w:pPr>
    </w:p>
    <w:p w14:paraId="21FA263A" w14:textId="77777777" w:rsidR="00FE5B09" w:rsidRPr="00FE5B09" w:rsidRDefault="00FE5B09" w:rsidP="00FE5B09">
      <w:pPr>
        <w:spacing w:after="0" w:line="240" w:lineRule="auto"/>
        <w:jc w:val="both"/>
        <w:rPr>
          <w:rStyle w:val="Strong"/>
          <w:rFonts w:cstheme="minorHAnsi"/>
          <w:i/>
          <w:color w:val="2E74B5"/>
        </w:rPr>
      </w:pPr>
    </w:p>
    <w:p w14:paraId="149946DB" w14:textId="77777777" w:rsidR="00FE5B09" w:rsidRPr="00FE5B09" w:rsidRDefault="00FE5B09" w:rsidP="00FE5B09">
      <w:pPr>
        <w:spacing w:after="0" w:line="240" w:lineRule="auto"/>
        <w:jc w:val="both"/>
        <w:rPr>
          <w:rStyle w:val="Strong"/>
          <w:rFonts w:cstheme="minorHAnsi"/>
          <w:i/>
          <w:color w:val="2E74B5"/>
        </w:rPr>
      </w:pPr>
    </w:p>
    <w:p w14:paraId="573FF37C" w14:textId="77777777" w:rsidR="00FE5B09" w:rsidRPr="00FE5B09" w:rsidRDefault="00FE5B09" w:rsidP="00FE5B09">
      <w:pPr>
        <w:spacing w:after="0" w:line="240" w:lineRule="auto"/>
        <w:jc w:val="both"/>
        <w:rPr>
          <w:rStyle w:val="Strong"/>
          <w:rFonts w:cstheme="minorHAnsi"/>
          <w:i/>
          <w:color w:val="2E74B5"/>
        </w:rPr>
      </w:pPr>
    </w:p>
    <w:p w14:paraId="4B6CB12A" w14:textId="77777777" w:rsidR="00FE5B09" w:rsidRPr="00FE5B09" w:rsidRDefault="00FE5B09" w:rsidP="00FE5B09">
      <w:pPr>
        <w:spacing w:after="0" w:line="240" w:lineRule="auto"/>
        <w:jc w:val="both"/>
        <w:rPr>
          <w:rStyle w:val="Strong"/>
          <w:rFonts w:cstheme="minorHAnsi"/>
          <w:i/>
          <w:color w:val="2E74B5"/>
        </w:rPr>
      </w:pPr>
    </w:p>
    <w:p w14:paraId="23D57F49" w14:textId="77777777" w:rsidR="00FE5B09" w:rsidRPr="00AF457F" w:rsidRDefault="00FE5B09" w:rsidP="00FE5B09">
      <w:pPr>
        <w:spacing w:after="0" w:line="240" w:lineRule="auto"/>
        <w:jc w:val="both"/>
        <w:rPr>
          <w:rStyle w:val="Strong"/>
          <w:rFonts w:cstheme="minorHAnsi"/>
          <w:i/>
          <w:color w:val="2E74B5"/>
          <w:sz w:val="20"/>
          <w:szCs w:val="20"/>
        </w:rPr>
      </w:pPr>
    </w:p>
    <w:p w14:paraId="5080E3FE" w14:textId="77777777" w:rsidR="00FE5B09" w:rsidRPr="00AF457F" w:rsidRDefault="00FE5B09" w:rsidP="00FE5B09">
      <w:pPr>
        <w:spacing w:after="0" w:line="240" w:lineRule="auto"/>
        <w:jc w:val="both"/>
        <w:rPr>
          <w:rStyle w:val="Strong"/>
          <w:rFonts w:cstheme="minorHAnsi"/>
          <w:i/>
          <w:color w:val="2E74B5"/>
          <w:sz w:val="20"/>
          <w:szCs w:val="20"/>
        </w:rPr>
      </w:pPr>
    </w:p>
    <w:p w14:paraId="7BB76442" w14:textId="77777777" w:rsidR="00FE5B09" w:rsidRPr="00AF457F" w:rsidRDefault="00FE5B09" w:rsidP="00FE5B09">
      <w:pPr>
        <w:spacing w:after="0" w:line="240" w:lineRule="auto"/>
        <w:jc w:val="both"/>
        <w:rPr>
          <w:rStyle w:val="Strong"/>
          <w:rFonts w:cstheme="minorHAnsi"/>
          <w:i/>
          <w:color w:val="2E74B5"/>
          <w:sz w:val="20"/>
          <w:szCs w:val="20"/>
        </w:rPr>
      </w:pPr>
    </w:p>
    <w:p w14:paraId="458E21C6" w14:textId="77777777" w:rsidR="00FE5B09" w:rsidRPr="00AF457F" w:rsidRDefault="00FE5B09" w:rsidP="00FE5B09">
      <w:pPr>
        <w:spacing w:after="0" w:line="240" w:lineRule="auto"/>
        <w:jc w:val="both"/>
        <w:rPr>
          <w:rStyle w:val="Strong"/>
          <w:rFonts w:cstheme="minorHAnsi"/>
          <w:i/>
          <w:color w:val="2E74B5"/>
          <w:sz w:val="20"/>
          <w:szCs w:val="20"/>
        </w:rPr>
      </w:pPr>
    </w:p>
    <w:p w14:paraId="78B2950C" w14:textId="77777777" w:rsidR="00FE5B09" w:rsidRPr="00AF457F" w:rsidRDefault="00FE5B09" w:rsidP="00FE5B09">
      <w:pPr>
        <w:spacing w:after="0" w:line="240" w:lineRule="auto"/>
        <w:jc w:val="both"/>
        <w:rPr>
          <w:rStyle w:val="Strong"/>
          <w:rFonts w:cstheme="minorHAnsi"/>
          <w:i/>
          <w:color w:val="2E74B5"/>
          <w:sz w:val="20"/>
          <w:szCs w:val="20"/>
        </w:rPr>
      </w:pPr>
    </w:p>
    <w:p w14:paraId="760CF1AE" w14:textId="77777777" w:rsidR="00FE5B09" w:rsidRPr="00AF457F" w:rsidRDefault="00FE5B09" w:rsidP="00FE5B09">
      <w:pPr>
        <w:spacing w:after="0" w:line="240" w:lineRule="auto"/>
        <w:jc w:val="both"/>
        <w:rPr>
          <w:rStyle w:val="Strong"/>
          <w:rFonts w:cstheme="minorHAnsi"/>
          <w:i/>
          <w:color w:val="2E74B5"/>
          <w:sz w:val="20"/>
          <w:szCs w:val="20"/>
        </w:rPr>
      </w:pPr>
    </w:p>
    <w:p w14:paraId="69A09805" w14:textId="77777777" w:rsidR="00FE5B09" w:rsidRPr="00AF457F" w:rsidRDefault="00FE5B09" w:rsidP="00FE5B09">
      <w:pPr>
        <w:spacing w:after="0" w:line="240" w:lineRule="auto"/>
        <w:jc w:val="both"/>
        <w:rPr>
          <w:rStyle w:val="Strong"/>
          <w:rFonts w:cstheme="minorHAnsi"/>
          <w:i/>
          <w:color w:val="2E74B5"/>
          <w:sz w:val="20"/>
          <w:szCs w:val="20"/>
        </w:rPr>
      </w:pPr>
    </w:p>
    <w:p w14:paraId="50F4E2BD" w14:textId="77777777" w:rsidR="00FE5B09" w:rsidRPr="00AF457F" w:rsidRDefault="00FE5B09" w:rsidP="00FE5B09">
      <w:pPr>
        <w:spacing w:after="0" w:line="240" w:lineRule="auto"/>
        <w:jc w:val="both"/>
        <w:rPr>
          <w:rStyle w:val="Strong"/>
          <w:rFonts w:cstheme="minorHAnsi"/>
          <w:i/>
          <w:color w:val="2E74B5"/>
          <w:sz w:val="20"/>
          <w:szCs w:val="20"/>
        </w:rPr>
      </w:pPr>
    </w:p>
    <w:p w14:paraId="5DAB4E37" w14:textId="77777777" w:rsidR="00FE5B09" w:rsidRPr="00AF457F" w:rsidRDefault="00FE5B09" w:rsidP="00FE5B09">
      <w:pPr>
        <w:spacing w:after="0" w:line="240" w:lineRule="auto"/>
        <w:jc w:val="both"/>
        <w:rPr>
          <w:rStyle w:val="Strong"/>
          <w:rFonts w:cstheme="minorHAnsi"/>
          <w:i/>
          <w:color w:val="2E74B5"/>
          <w:sz w:val="20"/>
          <w:szCs w:val="20"/>
        </w:rPr>
      </w:pPr>
    </w:p>
    <w:p w14:paraId="0FE480DB" w14:textId="77777777" w:rsidR="00FE5B09" w:rsidRPr="00AF457F" w:rsidRDefault="00FE5B09" w:rsidP="00FE5B09">
      <w:pPr>
        <w:spacing w:after="0" w:line="240" w:lineRule="auto"/>
        <w:jc w:val="both"/>
        <w:rPr>
          <w:rStyle w:val="Strong"/>
          <w:rFonts w:cstheme="minorHAnsi"/>
          <w:i/>
          <w:color w:val="2E74B5"/>
          <w:sz w:val="20"/>
          <w:szCs w:val="20"/>
        </w:rPr>
      </w:pPr>
    </w:p>
    <w:p w14:paraId="4C30021D" w14:textId="77777777" w:rsidR="00FE5B09" w:rsidRPr="00AF457F" w:rsidRDefault="00FE5B09" w:rsidP="00FE5B09">
      <w:pPr>
        <w:spacing w:after="0" w:line="240" w:lineRule="auto"/>
        <w:jc w:val="both"/>
        <w:rPr>
          <w:rStyle w:val="Strong"/>
          <w:rFonts w:cstheme="minorHAnsi"/>
          <w:i/>
          <w:color w:val="2E74B5"/>
          <w:sz w:val="20"/>
          <w:szCs w:val="20"/>
        </w:rPr>
      </w:pPr>
    </w:p>
    <w:p w14:paraId="68CDE0FC" w14:textId="77777777" w:rsidR="00FE5B09" w:rsidRPr="00AF457F" w:rsidRDefault="00FE5B09" w:rsidP="00FE5B09">
      <w:pPr>
        <w:spacing w:after="0" w:line="240" w:lineRule="auto"/>
        <w:jc w:val="both"/>
        <w:rPr>
          <w:rStyle w:val="Strong"/>
          <w:rFonts w:cstheme="minorHAnsi"/>
          <w:i/>
          <w:color w:val="2E74B5"/>
          <w:sz w:val="20"/>
          <w:szCs w:val="20"/>
        </w:rPr>
      </w:pPr>
    </w:p>
    <w:p w14:paraId="3D3D0434" w14:textId="77777777" w:rsidR="00FE5B09" w:rsidRPr="00AF457F" w:rsidRDefault="00FE5B09" w:rsidP="00FE5B09">
      <w:pPr>
        <w:spacing w:after="0" w:line="240" w:lineRule="auto"/>
        <w:jc w:val="both"/>
        <w:rPr>
          <w:rStyle w:val="Strong"/>
          <w:rFonts w:cstheme="minorHAnsi"/>
          <w:i/>
          <w:color w:val="2E74B5"/>
          <w:sz w:val="20"/>
          <w:szCs w:val="20"/>
        </w:rPr>
      </w:pPr>
    </w:p>
    <w:p w14:paraId="68D724DE" w14:textId="77777777" w:rsidR="00FE5B09" w:rsidRDefault="00FE5B09" w:rsidP="001E2150">
      <w:pPr>
        <w:spacing w:line="240" w:lineRule="auto"/>
        <w:jc w:val="both"/>
        <w:sectPr w:rsidR="00FE5B09" w:rsidSect="00FE5B09">
          <w:type w:val="continuous"/>
          <w:pgSz w:w="11906" w:h="16838"/>
          <w:pgMar w:top="720" w:right="720" w:bottom="720" w:left="720" w:header="720" w:footer="720" w:gutter="0"/>
          <w:cols w:num="2" w:space="720"/>
          <w:docGrid w:linePitch="360"/>
        </w:sectPr>
      </w:pPr>
    </w:p>
    <w:p w14:paraId="20AE3AA8" w14:textId="77777777" w:rsidR="00FE5B09" w:rsidRDefault="00FE5B09" w:rsidP="001E2150">
      <w:pPr>
        <w:spacing w:line="240" w:lineRule="auto"/>
        <w:jc w:val="both"/>
      </w:pPr>
    </w:p>
    <w:p w14:paraId="570D08FC" w14:textId="77777777" w:rsidR="001E2150" w:rsidRDefault="001E2150" w:rsidP="001E2150">
      <w:pPr>
        <w:spacing w:line="240" w:lineRule="auto"/>
        <w:jc w:val="both"/>
      </w:pPr>
    </w:p>
    <w:p w14:paraId="2A1E901A" w14:textId="77777777" w:rsidR="00B15747" w:rsidRDefault="00B15747" w:rsidP="001E2150">
      <w:pPr>
        <w:spacing w:line="240" w:lineRule="auto"/>
        <w:jc w:val="both"/>
      </w:pPr>
    </w:p>
    <w:p w14:paraId="718B0624" w14:textId="77777777" w:rsidR="00B15747" w:rsidRDefault="00B15747" w:rsidP="001E2150">
      <w:pPr>
        <w:spacing w:line="240" w:lineRule="auto"/>
        <w:jc w:val="both"/>
      </w:pPr>
    </w:p>
    <w:p w14:paraId="7D7784F7" w14:textId="77777777" w:rsidR="00396829" w:rsidRPr="00396829" w:rsidRDefault="00FE5B09" w:rsidP="005F2F0A">
      <w:pPr>
        <w:shd w:val="clear" w:color="auto" w:fill="FFFFFF"/>
        <w:spacing w:before="240" w:after="0" w:line="240" w:lineRule="auto"/>
        <w:outlineLvl w:val="1"/>
        <w:rPr>
          <w:rFonts w:ascii="Calibri" w:eastAsia="Times New Roman" w:hAnsi="Calibri" w:cs="Calibri"/>
          <w:color w:val="339999"/>
          <w:sz w:val="30"/>
          <w:szCs w:val="30"/>
          <w:lang w:eastAsia="en-NZ"/>
        </w:rPr>
      </w:pPr>
      <w:r>
        <w:rPr>
          <w:rFonts w:ascii="Calibri" w:eastAsia="Times New Roman" w:hAnsi="Calibri" w:cs="Calibri"/>
          <w:color w:val="008080"/>
          <w:sz w:val="30"/>
          <w:szCs w:val="30"/>
          <w:lang w:eastAsia="en-NZ"/>
        </w:rPr>
        <w:t>F</w:t>
      </w:r>
      <w:r w:rsidR="00396829" w:rsidRPr="00396829">
        <w:rPr>
          <w:rFonts w:ascii="Calibri" w:eastAsia="Times New Roman" w:hAnsi="Calibri" w:cs="Calibri"/>
          <w:color w:val="008080"/>
          <w:sz w:val="30"/>
          <w:szCs w:val="30"/>
          <w:lang w:eastAsia="en-NZ"/>
        </w:rPr>
        <w:t>indings</w:t>
      </w:r>
    </w:p>
    <w:p w14:paraId="6D34FB87" w14:textId="77777777" w:rsidR="005F2F0A" w:rsidRPr="005F2F0A" w:rsidRDefault="005F2F0A" w:rsidP="005F2F0A">
      <w:pPr>
        <w:spacing w:after="0" w:line="240" w:lineRule="auto"/>
        <w:jc w:val="both"/>
        <w:rPr>
          <w:rFonts w:cstheme="minorHAnsi"/>
          <w:bCs/>
        </w:rPr>
      </w:pPr>
      <w:r w:rsidRPr="005F2F0A">
        <w:rPr>
          <w:rFonts w:cstheme="minorHAnsi"/>
          <w:bCs/>
        </w:rPr>
        <w:t>Although the link rate between HES and the IR is higher (=84%) than that of the NZIS and IR (=70.1%), the correlation coefficient between NZIS and IR data is higher (=0.81) than that of the HES and the IR (=0.74).</w:t>
      </w:r>
    </w:p>
    <w:p w14:paraId="24A2575E" w14:textId="77777777" w:rsidR="005F2F0A" w:rsidRPr="005F2F0A" w:rsidRDefault="005F2F0A" w:rsidP="005F2F0A">
      <w:pPr>
        <w:spacing w:after="0" w:line="240" w:lineRule="auto"/>
        <w:jc w:val="both"/>
        <w:rPr>
          <w:rFonts w:cstheme="minorHAnsi"/>
          <w:bCs/>
        </w:rPr>
      </w:pPr>
    </w:p>
    <w:p w14:paraId="02FE653A" w14:textId="77777777" w:rsidR="005F2F0A" w:rsidRPr="005F2F0A" w:rsidRDefault="005F2F0A" w:rsidP="005F2F0A">
      <w:pPr>
        <w:spacing w:after="0" w:line="240" w:lineRule="auto"/>
        <w:jc w:val="both"/>
        <w:rPr>
          <w:rFonts w:cstheme="minorHAnsi"/>
          <w:bCs/>
        </w:rPr>
      </w:pPr>
      <w:r w:rsidRPr="005F2F0A">
        <w:rPr>
          <w:rFonts w:cstheme="minorHAnsi"/>
          <w:bCs/>
        </w:rPr>
        <w:t>In general, the mean income from wages and salaries in the NZIS is about 2.5 % lower than that from IRD data while the mean income from HES is about 5.5% higher than that from IRD data. Differences are more pronounced for the younger and older ages.</w:t>
      </w:r>
    </w:p>
    <w:p w14:paraId="747E1EC2" w14:textId="77777777" w:rsidR="005F2F0A" w:rsidRPr="005F2F0A" w:rsidRDefault="005F2F0A" w:rsidP="005F2F0A">
      <w:pPr>
        <w:spacing w:after="0" w:line="240" w:lineRule="auto"/>
        <w:jc w:val="both"/>
        <w:rPr>
          <w:rFonts w:cstheme="minorHAnsi"/>
          <w:bCs/>
        </w:rPr>
      </w:pPr>
    </w:p>
    <w:p w14:paraId="256EFDA1" w14:textId="77777777" w:rsidR="00396829" w:rsidRPr="00396829" w:rsidRDefault="00396829" w:rsidP="002D322F">
      <w:pPr>
        <w:shd w:val="clear" w:color="auto" w:fill="FFFFFF"/>
        <w:spacing w:after="0" w:line="240" w:lineRule="auto"/>
        <w:outlineLvl w:val="2"/>
        <w:rPr>
          <w:rFonts w:ascii="Calibri" w:eastAsia="Times New Roman" w:hAnsi="Calibri" w:cs="Calibri"/>
          <w:b/>
          <w:bCs/>
          <w:color w:val="339999"/>
          <w:sz w:val="24"/>
          <w:szCs w:val="24"/>
          <w:lang w:eastAsia="en-NZ"/>
        </w:rPr>
      </w:pPr>
      <w:r w:rsidRPr="00396829">
        <w:rPr>
          <w:rFonts w:ascii="Calibri" w:eastAsia="Times New Roman" w:hAnsi="Calibri" w:cs="Calibri"/>
          <w:b/>
          <w:bCs/>
          <w:color w:val="008080"/>
          <w:sz w:val="24"/>
          <w:szCs w:val="24"/>
          <w:lang w:eastAsia="en-NZ"/>
        </w:rPr>
        <w:t>Relevance</w:t>
      </w:r>
    </w:p>
    <w:p w14:paraId="2E04CB5A" w14:textId="77777777" w:rsidR="00662F76" w:rsidRPr="00662F76" w:rsidRDefault="00662F76" w:rsidP="00B15747">
      <w:pPr>
        <w:spacing w:after="0" w:line="240" w:lineRule="auto"/>
        <w:jc w:val="both"/>
      </w:pPr>
      <w:r w:rsidRPr="00662F76">
        <w:rPr>
          <w:rFonts w:cs="Arial"/>
          <w:color w:val="000000"/>
        </w:rPr>
        <w:t xml:space="preserve">National statistical </w:t>
      </w:r>
      <w:r w:rsidR="00F205B5">
        <w:rPr>
          <w:rFonts w:cs="Arial"/>
          <w:color w:val="000000"/>
        </w:rPr>
        <w:t>institutes</w:t>
      </w:r>
      <w:r w:rsidRPr="00662F76">
        <w:rPr>
          <w:rFonts w:cs="Arial"/>
          <w:color w:val="000000"/>
        </w:rPr>
        <w:t xml:space="preserve"> are looking for opportunities </w:t>
      </w:r>
      <w:r w:rsidRPr="00662F76">
        <w:rPr>
          <w:rFonts w:eastAsia="Calibri" w:cs="Times New Roman"/>
        </w:rPr>
        <w:t xml:space="preserve">to make greater use of administrative sources. </w:t>
      </w:r>
      <w:r w:rsidRPr="00662F76">
        <w:t>There are numerous advantages in doing so: cost reduction in statistical production, reduction in respondent burden and potentially more informative datasets, to name a few. These data sources are now used for various statistical uses which include use for sampling frames and stratification, replacement of a data collection, use in data editing and imputation, use for estimation and validation of survey estimates. However, one must be careful in integrating these data sources in statistical production because many of these have not been collected for statistical purposes.</w:t>
      </w:r>
      <w:r>
        <w:t xml:space="preserve"> Therefore, this experiment is relevant in the use of external data sources in the validation of official statistics.</w:t>
      </w:r>
    </w:p>
    <w:p w14:paraId="08FA0893" w14:textId="77777777" w:rsidR="00662F76" w:rsidRDefault="00662F76" w:rsidP="00662F76">
      <w:pPr>
        <w:shd w:val="clear" w:color="auto" w:fill="FFFFFF"/>
        <w:spacing w:after="0" w:line="240" w:lineRule="auto"/>
        <w:outlineLvl w:val="2"/>
        <w:rPr>
          <w:rFonts w:ascii="Arial" w:hAnsi="Arial" w:cs="Arial"/>
          <w:color w:val="000000"/>
          <w:sz w:val="21"/>
          <w:szCs w:val="21"/>
        </w:rPr>
      </w:pPr>
    </w:p>
    <w:p w14:paraId="7B27B0D0" w14:textId="77777777" w:rsidR="00396829" w:rsidRDefault="00396829" w:rsidP="00662F76">
      <w:pPr>
        <w:shd w:val="clear" w:color="auto" w:fill="FFFFFF"/>
        <w:spacing w:after="0" w:line="240" w:lineRule="auto"/>
        <w:outlineLvl w:val="2"/>
        <w:rPr>
          <w:rFonts w:ascii="Calibri" w:eastAsia="Times New Roman" w:hAnsi="Calibri" w:cs="Calibri"/>
          <w:b/>
          <w:bCs/>
          <w:color w:val="008080"/>
          <w:sz w:val="24"/>
          <w:szCs w:val="24"/>
          <w:lang w:eastAsia="en-NZ"/>
        </w:rPr>
      </w:pPr>
      <w:r w:rsidRPr="00396829">
        <w:rPr>
          <w:rFonts w:ascii="Calibri" w:eastAsia="Times New Roman" w:hAnsi="Calibri" w:cs="Calibri"/>
          <w:b/>
          <w:bCs/>
          <w:color w:val="008080"/>
          <w:sz w:val="24"/>
          <w:szCs w:val="24"/>
          <w:lang w:eastAsia="en-NZ"/>
        </w:rPr>
        <w:t>Technology</w:t>
      </w:r>
    </w:p>
    <w:p w14:paraId="3CB70B5B" w14:textId="77777777" w:rsidR="00396829" w:rsidRPr="00396829" w:rsidRDefault="00662F76" w:rsidP="00B15747">
      <w:pPr>
        <w:shd w:val="clear" w:color="auto" w:fill="FFFFFF"/>
        <w:spacing w:line="240" w:lineRule="auto"/>
        <w:jc w:val="both"/>
        <w:outlineLvl w:val="2"/>
        <w:rPr>
          <w:rFonts w:ascii="Calibri" w:eastAsia="Times New Roman" w:hAnsi="Calibri" w:cs="Calibri"/>
          <w:color w:val="333333"/>
          <w:sz w:val="24"/>
          <w:szCs w:val="24"/>
          <w:lang w:eastAsia="en-NZ"/>
        </w:rPr>
      </w:pPr>
      <w:r w:rsidRPr="00B15747">
        <w:rPr>
          <w:rFonts w:cs="Arial"/>
          <w:color w:val="333333"/>
        </w:rPr>
        <w:t xml:space="preserve">Statistics </w:t>
      </w:r>
      <w:r w:rsidR="00B15747" w:rsidRPr="00B15747">
        <w:rPr>
          <w:rFonts w:cs="Arial"/>
          <w:color w:val="333333"/>
        </w:rPr>
        <w:t>NZ</w:t>
      </w:r>
      <w:r w:rsidRPr="00B15747">
        <w:rPr>
          <w:rFonts w:cs="Arial"/>
          <w:color w:val="333333"/>
        </w:rPr>
        <w:t xml:space="preserve"> uses IBM’s QualityStage to perform probabilistic record linkage. </w:t>
      </w:r>
      <w:r w:rsidR="00B15747">
        <w:rPr>
          <w:rFonts w:cs="Arial"/>
          <w:color w:val="333333"/>
        </w:rPr>
        <w:t xml:space="preserve">Data analyses utilised </w:t>
      </w:r>
      <w:r w:rsidRPr="00B15747">
        <w:rPr>
          <w:rFonts w:cs="Arial"/>
          <w:color w:val="333333"/>
        </w:rPr>
        <w:t xml:space="preserve">SAS and </w:t>
      </w:r>
      <w:r w:rsidR="00B15747">
        <w:rPr>
          <w:rFonts w:cs="Arial"/>
          <w:color w:val="333333"/>
        </w:rPr>
        <w:t>R. These are the tools available to users of IDI data. These tools are sufficient to carry out investigations with administrative data sources.</w:t>
      </w:r>
    </w:p>
    <w:p w14:paraId="553B7C32" w14:textId="77777777" w:rsidR="00396829" w:rsidRDefault="00396829" w:rsidP="00B15747">
      <w:pPr>
        <w:shd w:val="clear" w:color="auto" w:fill="FFFFFF"/>
        <w:spacing w:after="0" w:line="240" w:lineRule="auto"/>
        <w:outlineLvl w:val="2"/>
        <w:rPr>
          <w:rFonts w:ascii="Calibri" w:eastAsia="Times New Roman" w:hAnsi="Calibri" w:cs="Calibri"/>
          <w:b/>
          <w:bCs/>
          <w:color w:val="008080"/>
          <w:sz w:val="24"/>
          <w:szCs w:val="24"/>
          <w:lang w:eastAsia="en-NZ"/>
        </w:rPr>
      </w:pPr>
      <w:r w:rsidRPr="00396829">
        <w:rPr>
          <w:rFonts w:ascii="Calibri" w:eastAsia="Times New Roman" w:hAnsi="Calibri" w:cs="Calibri"/>
          <w:b/>
          <w:bCs/>
          <w:color w:val="008080"/>
          <w:sz w:val="24"/>
          <w:szCs w:val="24"/>
          <w:lang w:eastAsia="en-NZ"/>
        </w:rPr>
        <w:t>Methodology</w:t>
      </w:r>
    </w:p>
    <w:p w14:paraId="661877B5" w14:textId="77777777" w:rsidR="00181E18" w:rsidRDefault="00B15747" w:rsidP="00181E18">
      <w:pPr>
        <w:shd w:val="clear" w:color="auto" w:fill="FFFFFF"/>
        <w:spacing w:line="240" w:lineRule="auto"/>
        <w:outlineLvl w:val="2"/>
      </w:pPr>
      <w:r w:rsidRPr="00B15747">
        <w:rPr>
          <w:rFonts w:ascii="Calibri" w:eastAsia="Times New Roman" w:hAnsi="Calibri" w:cs="Calibri"/>
          <w:bCs/>
          <w:lang w:eastAsia="en-NZ"/>
        </w:rPr>
        <w:t xml:space="preserve">The use of Statistics NZ’s </w:t>
      </w:r>
      <w:hyperlink r:id="rId34" w:history="1">
        <w:r w:rsidRPr="00B15747">
          <w:rPr>
            <w:rStyle w:val="Hyperlink"/>
          </w:rPr>
          <w:t>quality assessment framework</w:t>
        </w:r>
      </w:hyperlink>
      <w:r w:rsidR="00E30BFC">
        <w:rPr>
          <w:rStyle w:val="Hyperlink"/>
        </w:rPr>
        <w:t xml:space="preserve"> </w:t>
      </w:r>
      <w:r w:rsidR="00E30BFC" w:rsidRPr="00E30BFC">
        <w:rPr>
          <w:rStyle w:val="Hyperlink"/>
          <w:color w:val="auto"/>
          <w:u w:val="none"/>
        </w:rPr>
        <w:t>provides</w:t>
      </w:r>
      <w:r w:rsidR="00E30BFC">
        <w:rPr>
          <w:rStyle w:val="Hyperlink"/>
          <w:color w:val="auto"/>
          <w:u w:val="none"/>
        </w:rPr>
        <w:t xml:space="preserve"> a thorough, structured and methodological way of carrying out investigations involving a potential use of administrative data in the production of official statistics. We </w:t>
      </w:r>
      <w:r w:rsidR="00E30BFC">
        <w:rPr>
          <w:rStyle w:val="Hyperlink"/>
          <w:color w:val="auto"/>
          <w:u w:val="none"/>
        </w:rPr>
        <w:lastRenderedPageBreak/>
        <w:t xml:space="preserve">have also recommended it as a </w:t>
      </w:r>
      <w:r w:rsidR="00F205B5" w:rsidRPr="00E30BFC">
        <w:t xml:space="preserve">basis for an analysis of cost/quality trade-off </w:t>
      </w:r>
      <w:r w:rsidR="00181E18">
        <w:t xml:space="preserve">as well in the </w:t>
      </w:r>
      <w:r w:rsidR="00F205B5" w:rsidRPr="00E30BFC">
        <w:t>evaluation of competing designs of a statistical output</w:t>
      </w:r>
      <w:r w:rsidR="00181E18">
        <w:t>.</w:t>
      </w:r>
    </w:p>
    <w:p w14:paraId="53B54A06" w14:textId="77777777" w:rsidR="00396829" w:rsidRPr="00396829" w:rsidRDefault="00396829" w:rsidP="00181E18">
      <w:pPr>
        <w:shd w:val="clear" w:color="auto" w:fill="FFFFFF"/>
        <w:spacing w:after="0" w:line="240" w:lineRule="auto"/>
        <w:outlineLvl w:val="2"/>
        <w:rPr>
          <w:rFonts w:ascii="Calibri" w:eastAsia="Times New Roman" w:hAnsi="Calibri" w:cs="Calibri"/>
          <w:b/>
          <w:bCs/>
          <w:color w:val="339999"/>
          <w:sz w:val="24"/>
          <w:szCs w:val="24"/>
          <w:lang w:eastAsia="en-NZ"/>
        </w:rPr>
      </w:pPr>
      <w:r w:rsidRPr="00396829">
        <w:rPr>
          <w:rFonts w:ascii="Calibri" w:eastAsia="Times New Roman" w:hAnsi="Calibri" w:cs="Calibri"/>
          <w:b/>
          <w:bCs/>
          <w:color w:val="008080"/>
          <w:sz w:val="24"/>
          <w:szCs w:val="24"/>
          <w:lang w:eastAsia="en-NZ"/>
        </w:rPr>
        <w:t>Source</w:t>
      </w:r>
    </w:p>
    <w:p w14:paraId="6CE597E7" w14:textId="77777777" w:rsidR="00181E18" w:rsidRDefault="00181E18" w:rsidP="00181E18">
      <w:pPr>
        <w:shd w:val="clear" w:color="auto" w:fill="FFFFFF"/>
        <w:spacing w:after="0" w:line="240" w:lineRule="auto"/>
        <w:rPr>
          <w:rFonts w:ascii="Calibri" w:eastAsia="Times New Roman" w:hAnsi="Calibri" w:cs="Calibri"/>
          <w:color w:val="000000"/>
          <w:lang w:eastAsia="en-NZ"/>
        </w:rPr>
      </w:pPr>
      <w:r>
        <w:rPr>
          <w:rFonts w:ascii="Calibri" w:eastAsia="Times New Roman" w:hAnsi="Calibri" w:cs="Calibri"/>
          <w:color w:val="000000"/>
          <w:lang w:eastAsia="en-NZ"/>
        </w:rPr>
        <w:t>The data sources in this experiment were only available in Statistics NZ’s IDI. There are restrictions in accessing these data sources.</w:t>
      </w:r>
    </w:p>
    <w:p w14:paraId="3F015CF3" w14:textId="77777777" w:rsidR="00181E18" w:rsidRDefault="00181E18" w:rsidP="00181E18">
      <w:pPr>
        <w:shd w:val="clear" w:color="auto" w:fill="FFFFFF"/>
        <w:spacing w:after="0" w:line="240" w:lineRule="auto"/>
        <w:rPr>
          <w:rFonts w:ascii="Calibri" w:eastAsia="Times New Roman" w:hAnsi="Calibri" w:cs="Calibri"/>
          <w:color w:val="000000"/>
          <w:lang w:eastAsia="en-NZ"/>
        </w:rPr>
      </w:pPr>
    </w:p>
    <w:p w14:paraId="32579CA3" w14:textId="77777777" w:rsidR="00396829" w:rsidRPr="00396829" w:rsidRDefault="00396829" w:rsidP="00181E18">
      <w:pPr>
        <w:shd w:val="clear" w:color="auto" w:fill="FFFFFF"/>
        <w:spacing w:after="0" w:line="240" w:lineRule="auto"/>
        <w:rPr>
          <w:rFonts w:ascii="Calibri" w:eastAsia="Times New Roman" w:hAnsi="Calibri" w:cs="Calibri"/>
          <w:b/>
          <w:bCs/>
          <w:color w:val="339999"/>
          <w:sz w:val="24"/>
          <w:szCs w:val="24"/>
          <w:lang w:eastAsia="en-NZ"/>
        </w:rPr>
      </w:pPr>
      <w:r w:rsidRPr="00396829">
        <w:rPr>
          <w:rFonts w:ascii="Calibri" w:eastAsia="Times New Roman" w:hAnsi="Calibri" w:cs="Calibri"/>
          <w:b/>
          <w:bCs/>
          <w:color w:val="008080"/>
          <w:sz w:val="24"/>
          <w:szCs w:val="24"/>
          <w:lang w:eastAsia="en-NZ"/>
        </w:rPr>
        <w:t>Quality</w:t>
      </w:r>
    </w:p>
    <w:p w14:paraId="6620E231" w14:textId="77777777" w:rsidR="00396829" w:rsidRPr="00396829" w:rsidRDefault="00F205B5" w:rsidP="00F205B5">
      <w:pPr>
        <w:spacing w:line="240" w:lineRule="auto"/>
        <w:jc w:val="both"/>
        <w:rPr>
          <w:rFonts w:ascii="Calibri" w:eastAsia="Times New Roman" w:hAnsi="Calibri" w:cs="Calibri"/>
          <w:color w:val="333333"/>
          <w:sz w:val="24"/>
          <w:szCs w:val="24"/>
          <w:lang w:eastAsia="en-NZ"/>
        </w:rPr>
      </w:pPr>
      <w:r w:rsidRPr="00F205B5">
        <w:rPr>
          <w:rFonts w:eastAsia="Calibri" w:cstheme="minorHAnsi"/>
        </w:rPr>
        <w:t xml:space="preserve">The investigations carried out in this experiment enables a statistical analyst from a national statistical </w:t>
      </w:r>
      <w:r w:rsidRPr="00F205B5">
        <w:rPr>
          <w:rFonts w:cs="Arial"/>
          <w:color w:val="000000"/>
        </w:rPr>
        <w:t>institute</w:t>
      </w:r>
      <w:r>
        <w:rPr>
          <w:rFonts w:cs="Arial"/>
          <w:color w:val="000000"/>
        </w:rPr>
        <w:t xml:space="preserve"> to make recommendations on the quality requirements to make sound methodological decisions on the use of administrative data in the production of official statistics.</w:t>
      </w:r>
    </w:p>
    <w:p w14:paraId="16926EDC" w14:textId="77777777" w:rsidR="00396829" w:rsidRPr="00396829" w:rsidRDefault="00396829" w:rsidP="00396829">
      <w:pPr>
        <w:shd w:val="clear" w:color="auto" w:fill="FFFFFF"/>
        <w:spacing w:before="150" w:after="0" w:line="240" w:lineRule="auto"/>
        <w:rPr>
          <w:rFonts w:ascii="Calibri" w:eastAsia="Times New Roman" w:hAnsi="Calibri" w:cs="Calibri"/>
          <w:color w:val="333333"/>
          <w:sz w:val="24"/>
          <w:szCs w:val="24"/>
          <w:lang w:eastAsia="en-NZ"/>
        </w:rPr>
      </w:pPr>
      <w:r w:rsidRPr="00396829">
        <w:rPr>
          <w:rFonts w:ascii="Calibri" w:eastAsia="Times New Roman" w:hAnsi="Calibri" w:cs="Calibri"/>
          <w:color w:val="008080"/>
          <w:sz w:val="30"/>
          <w:szCs w:val="30"/>
          <w:lang w:eastAsia="en-NZ"/>
        </w:rPr>
        <w:t>Conclusions</w:t>
      </w:r>
    </w:p>
    <w:p w14:paraId="0AB3A778" w14:textId="77777777" w:rsidR="002D322F" w:rsidRPr="005F2F0A" w:rsidRDefault="002D322F" w:rsidP="002D322F">
      <w:pPr>
        <w:spacing w:after="0" w:line="240" w:lineRule="auto"/>
        <w:jc w:val="both"/>
        <w:rPr>
          <w:rFonts w:cstheme="minorHAnsi"/>
          <w:bCs/>
        </w:rPr>
      </w:pPr>
      <w:r w:rsidRPr="005F2F0A">
        <w:rPr>
          <w:rFonts w:cstheme="minorHAnsi"/>
          <w:bCs/>
        </w:rPr>
        <w:t xml:space="preserve">One issue identified with the use of data integration to validate official statistics is the need for a weight to adjust for missed links, especially for individuals who reported non-zero income in the household surveys. More work is needed to improve on </w:t>
      </w:r>
      <w:r w:rsidR="00F205B5">
        <w:rPr>
          <w:rFonts w:cstheme="minorHAnsi"/>
          <w:bCs/>
        </w:rPr>
        <w:t xml:space="preserve">the </w:t>
      </w:r>
      <w:r w:rsidRPr="005F2F0A">
        <w:rPr>
          <w:rFonts w:cstheme="minorHAnsi"/>
          <w:bCs/>
        </w:rPr>
        <w:t xml:space="preserve">weight adjustment </w:t>
      </w:r>
      <w:r w:rsidR="00F205B5">
        <w:rPr>
          <w:rFonts w:cstheme="minorHAnsi"/>
          <w:bCs/>
        </w:rPr>
        <w:t xml:space="preserve">methodology </w:t>
      </w:r>
      <w:r w:rsidRPr="005F2F0A">
        <w:rPr>
          <w:rFonts w:cstheme="minorHAnsi"/>
          <w:bCs/>
        </w:rPr>
        <w:t>for linked data.</w:t>
      </w:r>
    </w:p>
    <w:p w14:paraId="292C6D41" w14:textId="77777777" w:rsidR="002D322F" w:rsidRPr="005F2F0A" w:rsidRDefault="002D322F" w:rsidP="002D322F">
      <w:pPr>
        <w:spacing w:after="0" w:line="240" w:lineRule="auto"/>
        <w:jc w:val="both"/>
        <w:rPr>
          <w:rFonts w:cstheme="minorHAnsi"/>
          <w:bCs/>
        </w:rPr>
      </w:pPr>
    </w:p>
    <w:p w14:paraId="2868151B" w14:textId="77777777" w:rsidR="002D322F" w:rsidRPr="005F2F0A" w:rsidRDefault="002D322F" w:rsidP="002D322F">
      <w:pPr>
        <w:spacing w:after="0" w:line="240" w:lineRule="auto"/>
        <w:jc w:val="both"/>
        <w:rPr>
          <w:rFonts w:cstheme="minorHAnsi"/>
          <w:bCs/>
        </w:rPr>
      </w:pPr>
      <w:r w:rsidRPr="005F2F0A">
        <w:rPr>
          <w:rFonts w:cstheme="minorHAnsi"/>
          <w:bCs/>
        </w:rPr>
        <w:t>Methods to better estimate linkage errors are required to determine models appropriate to account for these linkage errors. Linkage errors contribute to potential coverage errors in the resulting target population. Care should also be undertaken when creating statistical units from integrated datasets wherein one dataset is sourced from an administrative dataset since the unit may be defined differently in the administrative dataset.</w:t>
      </w:r>
    </w:p>
    <w:p w14:paraId="3BFE7304" w14:textId="77777777" w:rsidR="002D322F" w:rsidRPr="005F2F0A" w:rsidRDefault="002D322F" w:rsidP="002D322F">
      <w:pPr>
        <w:spacing w:after="0" w:line="240" w:lineRule="auto"/>
        <w:jc w:val="both"/>
        <w:rPr>
          <w:rFonts w:cstheme="minorHAnsi"/>
          <w:bCs/>
        </w:rPr>
      </w:pPr>
    </w:p>
    <w:p w14:paraId="2B8F41DD" w14:textId="77777777" w:rsidR="002D322F" w:rsidRPr="005F2F0A" w:rsidRDefault="002D322F" w:rsidP="002D322F">
      <w:pPr>
        <w:spacing w:after="0" w:line="240" w:lineRule="auto"/>
        <w:jc w:val="both"/>
        <w:rPr>
          <w:rFonts w:cstheme="minorHAnsi"/>
          <w:bCs/>
        </w:rPr>
      </w:pPr>
      <w:r w:rsidRPr="005F2F0A">
        <w:rPr>
          <w:rFonts w:cstheme="minorHAnsi"/>
          <w:bCs/>
        </w:rPr>
        <w:t>Administrative data may suffer from measurement errors, e.g., validity error, and these errors propagate when the administrative data is integrated with other data sources to produce a statistical output. Hence, target concepts used in an administrative dataset should be well understood before being used in the production of official statistics.</w:t>
      </w:r>
    </w:p>
    <w:p w14:paraId="31DE73DB" w14:textId="77777777" w:rsidR="002D322F" w:rsidRPr="005F2F0A" w:rsidRDefault="002D322F" w:rsidP="002D322F">
      <w:pPr>
        <w:spacing w:after="0" w:line="240" w:lineRule="auto"/>
        <w:rPr>
          <w:rFonts w:eastAsia="Calibri" w:cstheme="minorHAnsi"/>
          <w:lang w:val="en-US"/>
        </w:rPr>
      </w:pPr>
    </w:p>
    <w:p w14:paraId="3E0F77B8" w14:textId="77777777" w:rsidR="002D322F" w:rsidRPr="005F2F0A" w:rsidRDefault="002D322F" w:rsidP="002D322F">
      <w:pPr>
        <w:spacing w:after="0" w:line="240" w:lineRule="auto"/>
        <w:rPr>
          <w:b/>
          <w:u w:val="single"/>
        </w:rPr>
      </w:pPr>
      <w:r w:rsidRPr="005F2F0A">
        <w:rPr>
          <w:rFonts w:eastAsia="Calibri" w:cstheme="minorHAnsi"/>
          <w:lang w:val="en-US"/>
        </w:rPr>
        <w:t>Understanding the error sources from the input data sources, including those arising from the linked datasets, is essential in determining the associated methodological and operational issues that may limit the use of administrative data in the validation of official statistics.</w:t>
      </w:r>
    </w:p>
    <w:p w14:paraId="72709B8B" w14:textId="77777777" w:rsidR="007E18BC" w:rsidRDefault="002E2786"/>
    <w:p w14:paraId="650C0B32" w14:textId="77777777" w:rsidR="000A2A46" w:rsidRDefault="000A2A46" w:rsidP="000A2A46">
      <w:pPr>
        <w:shd w:val="clear" w:color="auto" w:fill="FFFFFF"/>
        <w:spacing w:before="150" w:after="0" w:line="240" w:lineRule="auto"/>
        <w:rPr>
          <w:rFonts w:ascii="Calibri" w:eastAsia="Times New Roman" w:hAnsi="Calibri" w:cs="Calibri"/>
          <w:color w:val="008080"/>
          <w:sz w:val="30"/>
          <w:szCs w:val="30"/>
          <w:lang w:eastAsia="en-NZ"/>
        </w:rPr>
      </w:pPr>
      <w:r>
        <w:rPr>
          <w:rFonts w:ascii="Calibri" w:eastAsia="Times New Roman" w:hAnsi="Calibri" w:cs="Calibri"/>
          <w:color w:val="008080"/>
          <w:sz w:val="30"/>
          <w:szCs w:val="30"/>
          <w:lang w:eastAsia="en-NZ"/>
        </w:rPr>
        <w:t>References</w:t>
      </w:r>
    </w:p>
    <w:p w14:paraId="1A1665FE" w14:textId="77777777" w:rsidR="005F2F0A" w:rsidRPr="00AF457F" w:rsidRDefault="005F2F0A" w:rsidP="005F2F0A">
      <w:pPr>
        <w:spacing w:line="240" w:lineRule="auto"/>
        <w:jc w:val="both"/>
        <w:rPr>
          <w:rFonts w:cstheme="minorHAnsi"/>
          <w:sz w:val="20"/>
          <w:szCs w:val="20"/>
        </w:rPr>
      </w:pPr>
      <w:r w:rsidRPr="00AF457F">
        <w:rPr>
          <w:rFonts w:cstheme="minorHAnsi"/>
          <w:sz w:val="20"/>
          <w:szCs w:val="20"/>
        </w:rPr>
        <w:t xml:space="preserve">Black, A. 2016. </w:t>
      </w:r>
      <w:hyperlink r:id="rId35" w:history="1">
        <w:r w:rsidRPr="00AF457F">
          <w:rPr>
            <w:rStyle w:val="Hyperlink"/>
            <w:rFonts w:cstheme="minorHAnsi"/>
            <w:sz w:val="20"/>
            <w:szCs w:val="20"/>
          </w:rPr>
          <w:t>The IDI prototype spine’s creation and coverage</w:t>
        </w:r>
      </w:hyperlink>
      <w:r w:rsidRPr="00AF457F">
        <w:rPr>
          <w:rFonts w:cstheme="minorHAnsi"/>
          <w:sz w:val="20"/>
          <w:szCs w:val="20"/>
        </w:rPr>
        <w:t xml:space="preserve">. (Statistics New Zealand Working Paper No 16–03). Available from </w:t>
      </w:r>
      <w:hyperlink r:id="rId36" w:history="1">
        <w:r w:rsidRPr="00AF457F">
          <w:rPr>
            <w:rStyle w:val="Hyperlink"/>
            <w:rFonts w:cstheme="minorHAnsi"/>
            <w:sz w:val="20"/>
            <w:szCs w:val="20"/>
          </w:rPr>
          <w:t>www.stats.govt.nz</w:t>
        </w:r>
      </w:hyperlink>
      <w:r w:rsidRPr="00AF457F">
        <w:rPr>
          <w:rFonts w:cstheme="minorHAnsi"/>
          <w:sz w:val="20"/>
          <w:szCs w:val="20"/>
        </w:rPr>
        <w:t>.</w:t>
      </w:r>
    </w:p>
    <w:p w14:paraId="6853792B" w14:textId="77777777" w:rsidR="005F2F0A" w:rsidRPr="00AF457F" w:rsidRDefault="005F2F0A" w:rsidP="005F2F0A">
      <w:pPr>
        <w:spacing w:line="240" w:lineRule="auto"/>
        <w:jc w:val="both"/>
        <w:rPr>
          <w:rFonts w:cstheme="minorHAnsi"/>
          <w:sz w:val="20"/>
          <w:szCs w:val="20"/>
        </w:rPr>
      </w:pPr>
      <w:r w:rsidRPr="00AF457F">
        <w:rPr>
          <w:rFonts w:cstheme="minorHAnsi"/>
          <w:sz w:val="20"/>
          <w:szCs w:val="20"/>
        </w:rPr>
        <w:t xml:space="preserve">Gibb, S, Bycroft, C, Matheson-Dunning, N. 2016. </w:t>
      </w:r>
      <w:hyperlink r:id="rId37" w:history="1">
        <w:r w:rsidRPr="00AF457F">
          <w:rPr>
            <w:rStyle w:val="Hyperlink"/>
            <w:rFonts w:cstheme="minorHAnsi"/>
            <w:sz w:val="20"/>
            <w:szCs w:val="20"/>
          </w:rPr>
          <w:t>Identifying the New Zealand resident population in the Integrated Data Infrastructure</w:t>
        </w:r>
      </w:hyperlink>
      <w:r w:rsidRPr="00AF457F">
        <w:rPr>
          <w:rFonts w:cstheme="minorHAnsi"/>
          <w:iCs/>
          <w:sz w:val="20"/>
          <w:szCs w:val="20"/>
        </w:rPr>
        <w:t xml:space="preserve"> </w:t>
      </w:r>
      <w:r w:rsidRPr="00AF457F">
        <w:rPr>
          <w:rFonts w:cstheme="minorHAnsi"/>
          <w:i/>
          <w:iCs/>
          <w:sz w:val="20"/>
          <w:szCs w:val="20"/>
        </w:rPr>
        <w:t xml:space="preserve">(IDI).  </w:t>
      </w:r>
      <w:r w:rsidRPr="00AF457F">
        <w:rPr>
          <w:rFonts w:cstheme="minorHAnsi"/>
          <w:sz w:val="20"/>
          <w:szCs w:val="20"/>
          <w:shd w:val="clear" w:color="auto" w:fill="FFFFFF"/>
        </w:rPr>
        <w:t xml:space="preserve">Available </w:t>
      </w:r>
      <w:r w:rsidRPr="00AF457F">
        <w:rPr>
          <w:rFonts w:cstheme="minorHAnsi"/>
          <w:sz w:val="20"/>
          <w:szCs w:val="20"/>
        </w:rPr>
        <w:t xml:space="preserve">from </w:t>
      </w:r>
      <w:hyperlink r:id="rId38" w:history="1">
        <w:r w:rsidRPr="00AF457F">
          <w:rPr>
            <w:rStyle w:val="Hyperlink"/>
            <w:rFonts w:cstheme="minorHAnsi"/>
            <w:sz w:val="20"/>
            <w:szCs w:val="20"/>
          </w:rPr>
          <w:t>www.stats.govt.nz</w:t>
        </w:r>
      </w:hyperlink>
      <w:r w:rsidRPr="00AF457F">
        <w:rPr>
          <w:rFonts w:cstheme="minorHAnsi"/>
          <w:sz w:val="20"/>
          <w:szCs w:val="20"/>
        </w:rPr>
        <w:t>.</w:t>
      </w:r>
    </w:p>
    <w:p w14:paraId="655C53CA" w14:textId="77777777" w:rsidR="005F2F0A" w:rsidRPr="00AF457F" w:rsidRDefault="005F2F0A" w:rsidP="005F2F0A">
      <w:pPr>
        <w:autoSpaceDE w:val="0"/>
        <w:autoSpaceDN w:val="0"/>
        <w:adjustRightInd w:val="0"/>
        <w:spacing w:line="240" w:lineRule="auto"/>
        <w:jc w:val="both"/>
        <w:rPr>
          <w:rFonts w:cstheme="minorHAnsi"/>
          <w:sz w:val="20"/>
          <w:szCs w:val="20"/>
        </w:rPr>
      </w:pPr>
      <w:r w:rsidRPr="00AF457F">
        <w:rPr>
          <w:rFonts w:cstheme="minorHAnsi"/>
          <w:color w:val="000000"/>
          <w:sz w:val="20"/>
          <w:szCs w:val="20"/>
        </w:rPr>
        <w:t xml:space="preserve">Statistics New Zealand. 2016. </w:t>
      </w:r>
      <w:hyperlink r:id="rId39" w:history="1">
        <w:r w:rsidRPr="00AF457F">
          <w:rPr>
            <w:rStyle w:val="Hyperlink"/>
            <w:rFonts w:cstheme="minorHAnsi"/>
            <w:sz w:val="20"/>
            <w:szCs w:val="20"/>
          </w:rPr>
          <w:t>Guide to reporting the quality of administrative data</w:t>
        </w:r>
      </w:hyperlink>
      <w:r w:rsidRPr="00AF457F">
        <w:rPr>
          <w:rFonts w:cstheme="minorHAnsi"/>
          <w:color w:val="000000"/>
          <w:sz w:val="20"/>
          <w:szCs w:val="20"/>
        </w:rPr>
        <w:t xml:space="preserve">. </w:t>
      </w:r>
      <w:r w:rsidRPr="00AF457F">
        <w:rPr>
          <w:rFonts w:cstheme="minorHAnsi"/>
          <w:sz w:val="20"/>
          <w:szCs w:val="20"/>
        </w:rPr>
        <w:t xml:space="preserve">Available from www.stats.govt.nz. </w:t>
      </w:r>
    </w:p>
    <w:p w14:paraId="22075F2D" w14:textId="77777777" w:rsidR="005F2F0A" w:rsidRPr="00AF457F" w:rsidRDefault="005F2F0A" w:rsidP="005F2F0A">
      <w:pPr>
        <w:spacing w:line="240" w:lineRule="auto"/>
        <w:jc w:val="both"/>
        <w:rPr>
          <w:rStyle w:val="apple-converted-space"/>
          <w:rFonts w:cstheme="minorHAnsi"/>
          <w:sz w:val="20"/>
          <w:szCs w:val="20"/>
          <w:shd w:val="clear" w:color="auto" w:fill="FFFFFF"/>
        </w:rPr>
      </w:pPr>
      <w:r w:rsidRPr="00AF457F">
        <w:rPr>
          <w:rFonts w:cstheme="minorHAnsi"/>
          <w:sz w:val="20"/>
          <w:szCs w:val="20"/>
          <w:shd w:val="clear" w:color="auto" w:fill="FFFFFF"/>
        </w:rPr>
        <w:t>Statistics New Zealand. 2015.</w:t>
      </w:r>
      <w:r w:rsidRPr="00AF457F">
        <w:rPr>
          <w:rStyle w:val="apple-converted-space"/>
          <w:rFonts w:cstheme="minorHAnsi"/>
          <w:sz w:val="20"/>
          <w:szCs w:val="20"/>
          <w:shd w:val="clear" w:color="auto" w:fill="FFFFFF"/>
        </w:rPr>
        <w:t> </w:t>
      </w:r>
      <w:hyperlink r:id="rId40" w:history="1">
        <w:r w:rsidRPr="00AF457F">
          <w:rPr>
            <w:rStyle w:val="Hyperlink"/>
            <w:rFonts w:cstheme="minorHAnsi"/>
            <w:sz w:val="20"/>
            <w:szCs w:val="20"/>
            <w:shd w:val="clear" w:color="auto" w:fill="FFFFFF"/>
          </w:rPr>
          <w:t>Household Economic Survey (Income): Year ended June 2015</w:t>
        </w:r>
      </w:hyperlink>
      <w:r w:rsidRPr="00AF457F">
        <w:rPr>
          <w:rStyle w:val="Emphasis"/>
          <w:rFonts w:cstheme="minorHAnsi"/>
          <w:sz w:val="20"/>
          <w:szCs w:val="20"/>
          <w:shd w:val="clear" w:color="auto" w:fill="FFFFFF"/>
        </w:rPr>
        <w:t xml:space="preserve"> (Income): Year ended June 2015</w:t>
      </w:r>
      <w:r w:rsidRPr="00AF457F">
        <w:rPr>
          <w:rFonts w:cstheme="minorHAnsi"/>
          <w:sz w:val="20"/>
          <w:szCs w:val="20"/>
          <w:shd w:val="clear" w:color="auto" w:fill="FFFFFF"/>
        </w:rPr>
        <w:t xml:space="preserve">. </w:t>
      </w:r>
      <w:r w:rsidRPr="00AF457F">
        <w:rPr>
          <w:rFonts w:cstheme="minorHAnsi"/>
          <w:sz w:val="20"/>
          <w:szCs w:val="20"/>
        </w:rPr>
        <w:t xml:space="preserve">Available from </w:t>
      </w:r>
      <w:hyperlink r:id="rId41" w:history="1">
        <w:r w:rsidRPr="00AF457F">
          <w:rPr>
            <w:rStyle w:val="Hyperlink"/>
            <w:rFonts w:cstheme="minorHAnsi"/>
            <w:sz w:val="20"/>
            <w:szCs w:val="20"/>
          </w:rPr>
          <w:t>www.stats.govt.nz</w:t>
        </w:r>
      </w:hyperlink>
      <w:r w:rsidRPr="00AF457F">
        <w:rPr>
          <w:rFonts w:cstheme="minorHAnsi"/>
          <w:sz w:val="20"/>
          <w:szCs w:val="20"/>
        </w:rPr>
        <w:t>.</w:t>
      </w:r>
    </w:p>
    <w:p w14:paraId="0FDAFF51" w14:textId="77777777" w:rsidR="005F2F0A" w:rsidRPr="00AF457F" w:rsidRDefault="005F2F0A" w:rsidP="005F2F0A">
      <w:pPr>
        <w:spacing w:line="240" w:lineRule="auto"/>
        <w:jc w:val="both"/>
        <w:rPr>
          <w:rStyle w:val="apple-converted-space"/>
          <w:rFonts w:cstheme="minorHAnsi"/>
          <w:sz w:val="20"/>
          <w:szCs w:val="20"/>
          <w:shd w:val="clear" w:color="auto" w:fill="FFFFFF"/>
        </w:rPr>
      </w:pPr>
      <w:r w:rsidRPr="00AF457F">
        <w:rPr>
          <w:rFonts w:cstheme="minorHAnsi"/>
          <w:sz w:val="20"/>
          <w:szCs w:val="20"/>
          <w:shd w:val="clear" w:color="auto" w:fill="FFFFFF"/>
        </w:rPr>
        <w:t>Statistics New Zealand. 2015.</w:t>
      </w:r>
      <w:r w:rsidRPr="00AF457F">
        <w:rPr>
          <w:rStyle w:val="apple-converted-space"/>
          <w:rFonts w:cstheme="minorHAnsi"/>
          <w:sz w:val="20"/>
          <w:szCs w:val="20"/>
          <w:shd w:val="clear" w:color="auto" w:fill="FFFFFF"/>
        </w:rPr>
        <w:t> </w:t>
      </w:r>
      <w:hyperlink r:id="rId42" w:history="1">
        <w:r w:rsidRPr="00AF457F">
          <w:rPr>
            <w:rStyle w:val="Hyperlink"/>
            <w:rFonts w:cstheme="minorHAnsi"/>
            <w:sz w:val="20"/>
            <w:szCs w:val="20"/>
            <w:shd w:val="clear" w:color="auto" w:fill="FFFFFF"/>
          </w:rPr>
          <w:t>Household Labour Force Survey sources and methods: 2015</w:t>
        </w:r>
      </w:hyperlink>
      <w:r w:rsidRPr="00AF457F">
        <w:rPr>
          <w:rFonts w:cstheme="minorHAnsi"/>
          <w:sz w:val="20"/>
          <w:szCs w:val="20"/>
          <w:shd w:val="clear" w:color="auto" w:fill="FFFFFF"/>
        </w:rPr>
        <w:t xml:space="preserve">. </w:t>
      </w:r>
      <w:r w:rsidRPr="00AF457F">
        <w:rPr>
          <w:rFonts w:cstheme="minorHAnsi"/>
          <w:sz w:val="20"/>
          <w:szCs w:val="20"/>
        </w:rPr>
        <w:t xml:space="preserve">Available from </w:t>
      </w:r>
      <w:hyperlink r:id="rId43" w:history="1">
        <w:r w:rsidRPr="00AF457F">
          <w:rPr>
            <w:rStyle w:val="Hyperlink"/>
            <w:rFonts w:cstheme="minorHAnsi"/>
            <w:sz w:val="20"/>
            <w:szCs w:val="20"/>
          </w:rPr>
          <w:t>www.stats.govt.nz</w:t>
        </w:r>
      </w:hyperlink>
      <w:r w:rsidRPr="00AF457F">
        <w:rPr>
          <w:rFonts w:cstheme="minorHAnsi"/>
          <w:sz w:val="20"/>
          <w:szCs w:val="20"/>
        </w:rPr>
        <w:t>.</w:t>
      </w:r>
    </w:p>
    <w:p w14:paraId="5F818238" w14:textId="77777777" w:rsidR="005F2F0A" w:rsidRPr="00AF457F" w:rsidRDefault="005F2F0A" w:rsidP="005F2F0A">
      <w:pPr>
        <w:spacing w:line="240" w:lineRule="auto"/>
        <w:jc w:val="both"/>
        <w:rPr>
          <w:rStyle w:val="apple-converted-space"/>
          <w:rFonts w:cstheme="minorHAnsi"/>
          <w:sz w:val="20"/>
          <w:szCs w:val="20"/>
          <w:shd w:val="clear" w:color="auto" w:fill="FFFFFF"/>
        </w:rPr>
      </w:pPr>
      <w:r w:rsidRPr="00AF457F">
        <w:rPr>
          <w:rFonts w:cstheme="minorHAnsi"/>
          <w:sz w:val="20"/>
          <w:szCs w:val="20"/>
          <w:shd w:val="clear" w:color="auto" w:fill="FFFFFF"/>
        </w:rPr>
        <w:t>Statistics New Zealand. 2014.</w:t>
      </w:r>
      <w:r w:rsidRPr="00AF457F">
        <w:rPr>
          <w:rStyle w:val="apple-converted-space"/>
          <w:rFonts w:cstheme="minorHAnsi"/>
          <w:sz w:val="20"/>
          <w:szCs w:val="20"/>
          <w:shd w:val="clear" w:color="auto" w:fill="FFFFFF"/>
        </w:rPr>
        <w:t> </w:t>
      </w:r>
      <w:hyperlink r:id="rId44" w:history="1">
        <w:r w:rsidRPr="00AF457F">
          <w:rPr>
            <w:rStyle w:val="Hyperlink"/>
            <w:rFonts w:cstheme="minorHAnsi"/>
            <w:sz w:val="20"/>
            <w:szCs w:val="20"/>
          </w:rPr>
          <w:t>Linking methodology used by Statistics New Zealand in the Integrated Data Infrastructure project</w:t>
        </w:r>
      </w:hyperlink>
      <w:r w:rsidRPr="00AF457F">
        <w:rPr>
          <w:rFonts w:cstheme="minorHAnsi"/>
          <w:sz w:val="20"/>
          <w:szCs w:val="20"/>
          <w:shd w:val="clear" w:color="auto" w:fill="FFFFFF"/>
        </w:rPr>
        <w:t xml:space="preserve">. </w:t>
      </w:r>
      <w:r w:rsidRPr="00AF457F">
        <w:rPr>
          <w:rFonts w:cstheme="minorHAnsi"/>
          <w:sz w:val="20"/>
          <w:szCs w:val="20"/>
        </w:rPr>
        <w:t xml:space="preserve">Available from </w:t>
      </w:r>
      <w:hyperlink r:id="rId45" w:history="1">
        <w:r w:rsidRPr="00AF457F">
          <w:rPr>
            <w:rStyle w:val="Hyperlink"/>
            <w:rFonts w:cstheme="minorHAnsi"/>
            <w:sz w:val="20"/>
            <w:szCs w:val="20"/>
          </w:rPr>
          <w:t>www.stats.govt.nz</w:t>
        </w:r>
      </w:hyperlink>
      <w:r w:rsidRPr="00AF457F">
        <w:rPr>
          <w:rFonts w:cstheme="minorHAnsi"/>
          <w:sz w:val="20"/>
          <w:szCs w:val="20"/>
        </w:rPr>
        <w:t>.</w:t>
      </w:r>
    </w:p>
    <w:p w14:paraId="066D763D" w14:textId="77777777" w:rsidR="005F2F0A" w:rsidRPr="00AF457F" w:rsidRDefault="005F2F0A" w:rsidP="005F2F0A">
      <w:pPr>
        <w:spacing w:line="240" w:lineRule="auto"/>
        <w:jc w:val="both"/>
        <w:rPr>
          <w:rStyle w:val="apple-converted-space"/>
          <w:rFonts w:cstheme="minorHAnsi"/>
          <w:sz w:val="20"/>
          <w:szCs w:val="20"/>
          <w:shd w:val="clear" w:color="auto" w:fill="FFFFFF"/>
        </w:rPr>
      </w:pPr>
      <w:r w:rsidRPr="00AF457F">
        <w:rPr>
          <w:rFonts w:cstheme="minorHAnsi"/>
          <w:sz w:val="20"/>
          <w:szCs w:val="20"/>
          <w:shd w:val="clear" w:color="auto" w:fill="FFFFFF"/>
        </w:rPr>
        <w:t>Statistics New Zealand. 2015.</w:t>
      </w:r>
      <w:r w:rsidRPr="00AF457F">
        <w:rPr>
          <w:rStyle w:val="apple-converted-space"/>
          <w:rFonts w:cstheme="minorHAnsi"/>
          <w:sz w:val="20"/>
          <w:szCs w:val="20"/>
          <w:shd w:val="clear" w:color="auto" w:fill="FFFFFF"/>
        </w:rPr>
        <w:t> </w:t>
      </w:r>
      <w:hyperlink r:id="rId46" w:history="1">
        <w:r w:rsidRPr="00AF457F">
          <w:rPr>
            <w:rStyle w:val="Hyperlink"/>
            <w:rFonts w:cstheme="minorHAnsi"/>
            <w:sz w:val="20"/>
            <w:szCs w:val="20"/>
            <w:shd w:val="clear" w:color="auto" w:fill="FFFFFF"/>
          </w:rPr>
          <w:t>New Zealand Income Survey: June 2015 quarter</w:t>
        </w:r>
      </w:hyperlink>
      <w:r w:rsidRPr="00AF457F">
        <w:rPr>
          <w:rFonts w:cstheme="minorHAnsi"/>
          <w:sz w:val="20"/>
          <w:szCs w:val="20"/>
          <w:shd w:val="clear" w:color="auto" w:fill="FFFFFF"/>
        </w:rPr>
        <w:t xml:space="preserve">. Available from </w:t>
      </w:r>
      <w:hyperlink r:id="rId47" w:history="1">
        <w:r w:rsidRPr="00AF457F">
          <w:rPr>
            <w:rStyle w:val="Hyperlink"/>
            <w:rFonts w:cstheme="minorHAnsi"/>
            <w:sz w:val="20"/>
            <w:szCs w:val="20"/>
          </w:rPr>
          <w:t>www.stats.govt.nz</w:t>
        </w:r>
      </w:hyperlink>
      <w:r w:rsidRPr="00AF457F">
        <w:rPr>
          <w:rFonts w:cstheme="minorHAnsi"/>
          <w:sz w:val="20"/>
          <w:szCs w:val="20"/>
        </w:rPr>
        <w:t>.</w:t>
      </w:r>
    </w:p>
    <w:p w14:paraId="305DB81C" w14:textId="77777777" w:rsidR="005F2F0A" w:rsidRDefault="005F2F0A" w:rsidP="005F2F0A">
      <w:pPr>
        <w:autoSpaceDE w:val="0"/>
        <w:autoSpaceDN w:val="0"/>
        <w:adjustRightInd w:val="0"/>
        <w:spacing w:line="240" w:lineRule="auto"/>
        <w:jc w:val="both"/>
        <w:rPr>
          <w:rFonts w:cstheme="minorHAnsi"/>
          <w:sz w:val="20"/>
          <w:szCs w:val="20"/>
        </w:rPr>
      </w:pPr>
      <w:r w:rsidRPr="00AF457F">
        <w:rPr>
          <w:rFonts w:cstheme="minorHAnsi"/>
          <w:sz w:val="20"/>
          <w:szCs w:val="20"/>
        </w:rPr>
        <w:t xml:space="preserve">Zhang, L-C. 2012. </w:t>
      </w:r>
      <w:hyperlink r:id="rId48" w:history="1">
        <w:r w:rsidRPr="00AF457F">
          <w:rPr>
            <w:rStyle w:val="Hyperlink"/>
            <w:rFonts w:cstheme="minorHAnsi"/>
            <w:sz w:val="20"/>
            <w:szCs w:val="20"/>
          </w:rPr>
          <w:t>Topics of statistical theory for register-based statistics and data integration</w:t>
        </w:r>
      </w:hyperlink>
      <w:r w:rsidRPr="00AF457F">
        <w:rPr>
          <w:rFonts w:cstheme="minorHAnsi"/>
          <w:sz w:val="20"/>
          <w:szCs w:val="20"/>
        </w:rPr>
        <w:t xml:space="preserve">. </w:t>
      </w:r>
      <w:r w:rsidRPr="00AF457F">
        <w:rPr>
          <w:rFonts w:cstheme="minorHAnsi"/>
          <w:i/>
          <w:iCs/>
          <w:sz w:val="20"/>
          <w:szCs w:val="20"/>
        </w:rPr>
        <w:t xml:space="preserve">Statistica Neerlandica, 66, </w:t>
      </w:r>
      <w:r w:rsidRPr="00AF457F">
        <w:rPr>
          <w:rFonts w:cstheme="minorHAnsi"/>
          <w:sz w:val="20"/>
          <w:szCs w:val="20"/>
        </w:rPr>
        <w:t>41–63. doi: 10.1111/j.1467-9574.2011.00508.x</w:t>
      </w:r>
    </w:p>
    <w:p w14:paraId="166CDB9F" w14:textId="77777777" w:rsidR="000A2A46" w:rsidRPr="00396829" w:rsidRDefault="000A2A46" w:rsidP="000A2A46">
      <w:pPr>
        <w:shd w:val="clear" w:color="auto" w:fill="FFFFFF"/>
        <w:spacing w:before="150" w:after="0" w:line="240" w:lineRule="auto"/>
        <w:rPr>
          <w:rFonts w:ascii="Calibri" w:eastAsia="Times New Roman" w:hAnsi="Calibri" w:cs="Calibri"/>
          <w:color w:val="333333"/>
          <w:sz w:val="24"/>
          <w:szCs w:val="24"/>
          <w:lang w:eastAsia="en-NZ"/>
        </w:rPr>
      </w:pPr>
    </w:p>
    <w:p w14:paraId="6932273E" w14:textId="77777777" w:rsidR="000A2A46" w:rsidRDefault="000A2A46"/>
    <w:sectPr w:rsidR="000A2A46" w:rsidSect="00791752">
      <w:footerReference w:type="default" r:id="rId49"/>
      <w:type w:val="continuous"/>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F479F8" w14:textId="77777777" w:rsidR="00254360" w:rsidRDefault="00254360" w:rsidP="005F3175">
      <w:pPr>
        <w:spacing w:after="0" w:line="240" w:lineRule="auto"/>
      </w:pPr>
      <w:r>
        <w:separator/>
      </w:r>
    </w:p>
  </w:endnote>
  <w:endnote w:type="continuationSeparator" w:id="0">
    <w:p w14:paraId="758015B5" w14:textId="77777777" w:rsidR="00254360" w:rsidRDefault="00254360" w:rsidP="005F3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Mäori">
    <w:altName w:val="Arial Mäori"/>
    <w:panose1 w:val="00000000000000000000"/>
    <w:charset w:val="00"/>
    <w:family w:val="swiss"/>
    <w:notTrueType/>
    <w:pitch w:val="default"/>
    <w:sig w:usb0="00000003" w:usb1="00000000" w:usb2="00000000" w:usb3="00000000" w:csb0="00000001" w:csb1="00000000"/>
  </w:font>
  <w:font w:name="CMR10">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3271992"/>
      <w:docPartObj>
        <w:docPartGallery w:val="Page Numbers (Bottom of Page)"/>
        <w:docPartUnique/>
      </w:docPartObj>
    </w:sdtPr>
    <w:sdtEndPr>
      <w:rPr>
        <w:noProof/>
      </w:rPr>
    </w:sdtEndPr>
    <w:sdtContent>
      <w:p w14:paraId="698467EB" w14:textId="77777777" w:rsidR="005F3175" w:rsidRDefault="005F3175">
        <w:pPr>
          <w:pStyle w:val="Footer"/>
          <w:jc w:val="center"/>
        </w:pPr>
        <w:r>
          <w:fldChar w:fldCharType="begin"/>
        </w:r>
        <w:r>
          <w:instrText xml:space="preserve"> PAGE   \* MERGEFORMAT </w:instrText>
        </w:r>
        <w:r>
          <w:fldChar w:fldCharType="separate"/>
        </w:r>
        <w:r w:rsidR="002E2786">
          <w:rPr>
            <w:noProof/>
          </w:rPr>
          <w:t>2</w:t>
        </w:r>
        <w:r>
          <w:rPr>
            <w:noProof/>
          </w:rPr>
          <w:fldChar w:fldCharType="end"/>
        </w:r>
      </w:p>
    </w:sdtContent>
  </w:sdt>
  <w:p w14:paraId="17939337" w14:textId="77777777" w:rsidR="005F3175" w:rsidRDefault="005F3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44329"/>
      <w:docPartObj>
        <w:docPartGallery w:val="Page Numbers (Bottom of Page)"/>
        <w:docPartUnique/>
      </w:docPartObj>
    </w:sdtPr>
    <w:sdtEndPr/>
    <w:sdtContent>
      <w:p w14:paraId="340FEDB5" w14:textId="77777777" w:rsidR="00E30BFC" w:rsidRDefault="00E30BFC">
        <w:pPr>
          <w:pStyle w:val="Footer"/>
          <w:jc w:val="center"/>
        </w:pPr>
        <w:r>
          <w:fldChar w:fldCharType="begin"/>
        </w:r>
        <w:r>
          <w:instrText xml:space="preserve"> PAGE   \* MERGEFORMAT </w:instrText>
        </w:r>
        <w:r>
          <w:fldChar w:fldCharType="separate"/>
        </w:r>
        <w:r w:rsidR="002E2786">
          <w:rPr>
            <w:noProof/>
          </w:rPr>
          <w:t>9</w:t>
        </w:r>
        <w:r>
          <w:rPr>
            <w:noProof/>
          </w:rPr>
          <w:fldChar w:fldCharType="end"/>
        </w:r>
      </w:p>
    </w:sdtContent>
  </w:sdt>
  <w:p w14:paraId="621F06E7" w14:textId="77777777" w:rsidR="00E30BFC" w:rsidRDefault="00E30B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88D69" w14:textId="77777777" w:rsidR="00254360" w:rsidRDefault="00254360" w:rsidP="005F3175">
      <w:pPr>
        <w:spacing w:after="0" w:line="240" w:lineRule="auto"/>
      </w:pPr>
      <w:r>
        <w:separator/>
      </w:r>
    </w:p>
  </w:footnote>
  <w:footnote w:type="continuationSeparator" w:id="0">
    <w:p w14:paraId="5FC34905" w14:textId="77777777" w:rsidR="00254360" w:rsidRDefault="00254360" w:rsidP="005F3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8.5pt;height:28.5pt" o:bullet="t">
        <v:imagedata r:id="rId1" o:title="artAE68"/>
      </v:shape>
    </w:pict>
  </w:numPicBullet>
  <w:abstractNum w:abstractNumId="0" w15:restartNumberingAfterBreak="0">
    <w:nsid w:val="0A5F052D"/>
    <w:multiLevelType w:val="hybridMultilevel"/>
    <w:tmpl w:val="718EC0E8"/>
    <w:lvl w:ilvl="0" w:tplc="1A9C4F04">
      <w:start w:val="1"/>
      <w:numFmt w:val="bullet"/>
      <w:lvlText w:val="•"/>
      <w:lvlJc w:val="left"/>
      <w:pPr>
        <w:tabs>
          <w:tab w:val="num" w:pos="720"/>
        </w:tabs>
        <w:ind w:left="720" w:hanging="360"/>
      </w:pPr>
      <w:rPr>
        <w:rFonts w:ascii="Arial" w:hAnsi="Arial" w:hint="default"/>
      </w:rPr>
    </w:lvl>
    <w:lvl w:ilvl="1" w:tplc="CB4EFFC0" w:tentative="1">
      <w:start w:val="1"/>
      <w:numFmt w:val="bullet"/>
      <w:lvlText w:val="•"/>
      <w:lvlJc w:val="left"/>
      <w:pPr>
        <w:tabs>
          <w:tab w:val="num" w:pos="1440"/>
        </w:tabs>
        <w:ind w:left="1440" w:hanging="360"/>
      </w:pPr>
      <w:rPr>
        <w:rFonts w:ascii="Arial" w:hAnsi="Arial" w:hint="default"/>
      </w:rPr>
    </w:lvl>
    <w:lvl w:ilvl="2" w:tplc="2DC2B614" w:tentative="1">
      <w:start w:val="1"/>
      <w:numFmt w:val="bullet"/>
      <w:lvlText w:val="•"/>
      <w:lvlJc w:val="left"/>
      <w:pPr>
        <w:tabs>
          <w:tab w:val="num" w:pos="2160"/>
        </w:tabs>
        <w:ind w:left="2160" w:hanging="360"/>
      </w:pPr>
      <w:rPr>
        <w:rFonts w:ascii="Arial" w:hAnsi="Arial" w:hint="default"/>
      </w:rPr>
    </w:lvl>
    <w:lvl w:ilvl="3" w:tplc="8C900B40" w:tentative="1">
      <w:start w:val="1"/>
      <w:numFmt w:val="bullet"/>
      <w:lvlText w:val="•"/>
      <w:lvlJc w:val="left"/>
      <w:pPr>
        <w:tabs>
          <w:tab w:val="num" w:pos="2880"/>
        </w:tabs>
        <w:ind w:left="2880" w:hanging="360"/>
      </w:pPr>
      <w:rPr>
        <w:rFonts w:ascii="Arial" w:hAnsi="Arial" w:hint="default"/>
      </w:rPr>
    </w:lvl>
    <w:lvl w:ilvl="4" w:tplc="15D4B23C" w:tentative="1">
      <w:start w:val="1"/>
      <w:numFmt w:val="bullet"/>
      <w:lvlText w:val="•"/>
      <w:lvlJc w:val="left"/>
      <w:pPr>
        <w:tabs>
          <w:tab w:val="num" w:pos="3600"/>
        </w:tabs>
        <w:ind w:left="3600" w:hanging="360"/>
      </w:pPr>
      <w:rPr>
        <w:rFonts w:ascii="Arial" w:hAnsi="Arial" w:hint="default"/>
      </w:rPr>
    </w:lvl>
    <w:lvl w:ilvl="5" w:tplc="514C649E" w:tentative="1">
      <w:start w:val="1"/>
      <w:numFmt w:val="bullet"/>
      <w:lvlText w:val="•"/>
      <w:lvlJc w:val="left"/>
      <w:pPr>
        <w:tabs>
          <w:tab w:val="num" w:pos="4320"/>
        </w:tabs>
        <w:ind w:left="4320" w:hanging="360"/>
      </w:pPr>
      <w:rPr>
        <w:rFonts w:ascii="Arial" w:hAnsi="Arial" w:hint="default"/>
      </w:rPr>
    </w:lvl>
    <w:lvl w:ilvl="6" w:tplc="80442148" w:tentative="1">
      <w:start w:val="1"/>
      <w:numFmt w:val="bullet"/>
      <w:lvlText w:val="•"/>
      <w:lvlJc w:val="left"/>
      <w:pPr>
        <w:tabs>
          <w:tab w:val="num" w:pos="5040"/>
        </w:tabs>
        <w:ind w:left="5040" w:hanging="360"/>
      </w:pPr>
      <w:rPr>
        <w:rFonts w:ascii="Arial" w:hAnsi="Arial" w:hint="default"/>
      </w:rPr>
    </w:lvl>
    <w:lvl w:ilvl="7" w:tplc="1098D536" w:tentative="1">
      <w:start w:val="1"/>
      <w:numFmt w:val="bullet"/>
      <w:lvlText w:val="•"/>
      <w:lvlJc w:val="left"/>
      <w:pPr>
        <w:tabs>
          <w:tab w:val="num" w:pos="5760"/>
        </w:tabs>
        <w:ind w:left="5760" w:hanging="360"/>
      </w:pPr>
      <w:rPr>
        <w:rFonts w:ascii="Arial" w:hAnsi="Arial" w:hint="default"/>
      </w:rPr>
    </w:lvl>
    <w:lvl w:ilvl="8" w:tplc="0C7440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34B5186"/>
    <w:multiLevelType w:val="multilevel"/>
    <w:tmpl w:val="A552D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D41DDF"/>
    <w:multiLevelType w:val="hybridMultilevel"/>
    <w:tmpl w:val="58EEF9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1916BF9"/>
    <w:multiLevelType w:val="hybridMultilevel"/>
    <w:tmpl w:val="1404620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4" w15:restartNumberingAfterBreak="0">
    <w:nsid w:val="399B247A"/>
    <w:multiLevelType w:val="hybridMultilevel"/>
    <w:tmpl w:val="0FAEC54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406E0AA7"/>
    <w:multiLevelType w:val="hybridMultilevel"/>
    <w:tmpl w:val="92FEC8CC"/>
    <w:lvl w:ilvl="0" w:tplc="C8F2A840">
      <w:start w:val="1"/>
      <w:numFmt w:val="bullet"/>
      <w:lvlText w:val="•"/>
      <w:lvlJc w:val="left"/>
      <w:pPr>
        <w:tabs>
          <w:tab w:val="num" w:pos="720"/>
        </w:tabs>
        <w:ind w:left="720" w:hanging="360"/>
      </w:pPr>
      <w:rPr>
        <w:rFonts w:ascii="Arial" w:hAnsi="Arial" w:hint="default"/>
      </w:rPr>
    </w:lvl>
    <w:lvl w:ilvl="1" w:tplc="47887EB8" w:tentative="1">
      <w:start w:val="1"/>
      <w:numFmt w:val="bullet"/>
      <w:lvlText w:val="•"/>
      <w:lvlJc w:val="left"/>
      <w:pPr>
        <w:tabs>
          <w:tab w:val="num" w:pos="1440"/>
        </w:tabs>
        <w:ind w:left="1440" w:hanging="360"/>
      </w:pPr>
      <w:rPr>
        <w:rFonts w:ascii="Arial" w:hAnsi="Arial" w:hint="default"/>
      </w:rPr>
    </w:lvl>
    <w:lvl w:ilvl="2" w:tplc="E000FD4E" w:tentative="1">
      <w:start w:val="1"/>
      <w:numFmt w:val="bullet"/>
      <w:lvlText w:val="•"/>
      <w:lvlJc w:val="left"/>
      <w:pPr>
        <w:tabs>
          <w:tab w:val="num" w:pos="2160"/>
        </w:tabs>
        <w:ind w:left="2160" w:hanging="360"/>
      </w:pPr>
      <w:rPr>
        <w:rFonts w:ascii="Arial" w:hAnsi="Arial" w:hint="default"/>
      </w:rPr>
    </w:lvl>
    <w:lvl w:ilvl="3" w:tplc="36387418" w:tentative="1">
      <w:start w:val="1"/>
      <w:numFmt w:val="bullet"/>
      <w:lvlText w:val="•"/>
      <w:lvlJc w:val="left"/>
      <w:pPr>
        <w:tabs>
          <w:tab w:val="num" w:pos="2880"/>
        </w:tabs>
        <w:ind w:left="2880" w:hanging="360"/>
      </w:pPr>
      <w:rPr>
        <w:rFonts w:ascii="Arial" w:hAnsi="Arial" w:hint="default"/>
      </w:rPr>
    </w:lvl>
    <w:lvl w:ilvl="4" w:tplc="45702546" w:tentative="1">
      <w:start w:val="1"/>
      <w:numFmt w:val="bullet"/>
      <w:lvlText w:val="•"/>
      <w:lvlJc w:val="left"/>
      <w:pPr>
        <w:tabs>
          <w:tab w:val="num" w:pos="3600"/>
        </w:tabs>
        <w:ind w:left="3600" w:hanging="360"/>
      </w:pPr>
      <w:rPr>
        <w:rFonts w:ascii="Arial" w:hAnsi="Arial" w:hint="default"/>
      </w:rPr>
    </w:lvl>
    <w:lvl w:ilvl="5" w:tplc="660C55A6" w:tentative="1">
      <w:start w:val="1"/>
      <w:numFmt w:val="bullet"/>
      <w:lvlText w:val="•"/>
      <w:lvlJc w:val="left"/>
      <w:pPr>
        <w:tabs>
          <w:tab w:val="num" w:pos="4320"/>
        </w:tabs>
        <w:ind w:left="4320" w:hanging="360"/>
      </w:pPr>
      <w:rPr>
        <w:rFonts w:ascii="Arial" w:hAnsi="Arial" w:hint="default"/>
      </w:rPr>
    </w:lvl>
    <w:lvl w:ilvl="6" w:tplc="2FC4EFAE" w:tentative="1">
      <w:start w:val="1"/>
      <w:numFmt w:val="bullet"/>
      <w:lvlText w:val="•"/>
      <w:lvlJc w:val="left"/>
      <w:pPr>
        <w:tabs>
          <w:tab w:val="num" w:pos="5040"/>
        </w:tabs>
        <w:ind w:left="5040" w:hanging="360"/>
      </w:pPr>
      <w:rPr>
        <w:rFonts w:ascii="Arial" w:hAnsi="Arial" w:hint="default"/>
      </w:rPr>
    </w:lvl>
    <w:lvl w:ilvl="7" w:tplc="803054B2" w:tentative="1">
      <w:start w:val="1"/>
      <w:numFmt w:val="bullet"/>
      <w:lvlText w:val="•"/>
      <w:lvlJc w:val="left"/>
      <w:pPr>
        <w:tabs>
          <w:tab w:val="num" w:pos="5760"/>
        </w:tabs>
        <w:ind w:left="5760" w:hanging="360"/>
      </w:pPr>
      <w:rPr>
        <w:rFonts w:ascii="Arial" w:hAnsi="Arial" w:hint="default"/>
      </w:rPr>
    </w:lvl>
    <w:lvl w:ilvl="8" w:tplc="861420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51F7E9B"/>
    <w:multiLevelType w:val="hybridMultilevel"/>
    <w:tmpl w:val="B408405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8674EA2"/>
    <w:multiLevelType w:val="hybridMultilevel"/>
    <w:tmpl w:val="C51C7748"/>
    <w:lvl w:ilvl="0" w:tplc="925A18DE">
      <w:start w:val="1"/>
      <w:numFmt w:val="bullet"/>
      <w:lvlText w:val="•"/>
      <w:lvlJc w:val="left"/>
      <w:pPr>
        <w:tabs>
          <w:tab w:val="num" w:pos="720"/>
        </w:tabs>
        <w:ind w:left="720" w:hanging="360"/>
      </w:pPr>
      <w:rPr>
        <w:rFonts w:ascii="Arial" w:hAnsi="Arial" w:hint="default"/>
      </w:rPr>
    </w:lvl>
    <w:lvl w:ilvl="1" w:tplc="511E6ADE" w:tentative="1">
      <w:start w:val="1"/>
      <w:numFmt w:val="bullet"/>
      <w:lvlText w:val="•"/>
      <w:lvlJc w:val="left"/>
      <w:pPr>
        <w:tabs>
          <w:tab w:val="num" w:pos="1440"/>
        </w:tabs>
        <w:ind w:left="1440" w:hanging="360"/>
      </w:pPr>
      <w:rPr>
        <w:rFonts w:ascii="Arial" w:hAnsi="Arial" w:hint="default"/>
      </w:rPr>
    </w:lvl>
    <w:lvl w:ilvl="2" w:tplc="4BC08F6A" w:tentative="1">
      <w:start w:val="1"/>
      <w:numFmt w:val="bullet"/>
      <w:lvlText w:val="•"/>
      <w:lvlJc w:val="left"/>
      <w:pPr>
        <w:tabs>
          <w:tab w:val="num" w:pos="2160"/>
        </w:tabs>
        <w:ind w:left="2160" w:hanging="360"/>
      </w:pPr>
      <w:rPr>
        <w:rFonts w:ascii="Arial" w:hAnsi="Arial" w:hint="default"/>
      </w:rPr>
    </w:lvl>
    <w:lvl w:ilvl="3" w:tplc="675A5764" w:tentative="1">
      <w:start w:val="1"/>
      <w:numFmt w:val="bullet"/>
      <w:lvlText w:val="•"/>
      <w:lvlJc w:val="left"/>
      <w:pPr>
        <w:tabs>
          <w:tab w:val="num" w:pos="2880"/>
        </w:tabs>
        <w:ind w:left="2880" w:hanging="360"/>
      </w:pPr>
      <w:rPr>
        <w:rFonts w:ascii="Arial" w:hAnsi="Arial" w:hint="default"/>
      </w:rPr>
    </w:lvl>
    <w:lvl w:ilvl="4" w:tplc="F04429D8" w:tentative="1">
      <w:start w:val="1"/>
      <w:numFmt w:val="bullet"/>
      <w:lvlText w:val="•"/>
      <w:lvlJc w:val="left"/>
      <w:pPr>
        <w:tabs>
          <w:tab w:val="num" w:pos="3600"/>
        </w:tabs>
        <w:ind w:left="3600" w:hanging="360"/>
      </w:pPr>
      <w:rPr>
        <w:rFonts w:ascii="Arial" w:hAnsi="Arial" w:hint="default"/>
      </w:rPr>
    </w:lvl>
    <w:lvl w:ilvl="5" w:tplc="93CEC408" w:tentative="1">
      <w:start w:val="1"/>
      <w:numFmt w:val="bullet"/>
      <w:lvlText w:val="•"/>
      <w:lvlJc w:val="left"/>
      <w:pPr>
        <w:tabs>
          <w:tab w:val="num" w:pos="4320"/>
        </w:tabs>
        <w:ind w:left="4320" w:hanging="360"/>
      </w:pPr>
      <w:rPr>
        <w:rFonts w:ascii="Arial" w:hAnsi="Arial" w:hint="default"/>
      </w:rPr>
    </w:lvl>
    <w:lvl w:ilvl="6" w:tplc="F14A6872" w:tentative="1">
      <w:start w:val="1"/>
      <w:numFmt w:val="bullet"/>
      <w:lvlText w:val="•"/>
      <w:lvlJc w:val="left"/>
      <w:pPr>
        <w:tabs>
          <w:tab w:val="num" w:pos="5040"/>
        </w:tabs>
        <w:ind w:left="5040" w:hanging="360"/>
      </w:pPr>
      <w:rPr>
        <w:rFonts w:ascii="Arial" w:hAnsi="Arial" w:hint="default"/>
      </w:rPr>
    </w:lvl>
    <w:lvl w:ilvl="7" w:tplc="697C18C2" w:tentative="1">
      <w:start w:val="1"/>
      <w:numFmt w:val="bullet"/>
      <w:lvlText w:val="•"/>
      <w:lvlJc w:val="left"/>
      <w:pPr>
        <w:tabs>
          <w:tab w:val="num" w:pos="5760"/>
        </w:tabs>
        <w:ind w:left="5760" w:hanging="360"/>
      </w:pPr>
      <w:rPr>
        <w:rFonts w:ascii="Arial" w:hAnsi="Arial" w:hint="default"/>
      </w:rPr>
    </w:lvl>
    <w:lvl w:ilvl="8" w:tplc="1B30566C"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48884647"/>
    <w:multiLevelType w:val="multilevel"/>
    <w:tmpl w:val="A464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5A26F16"/>
    <w:multiLevelType w:val="hybridMultilevel"/>
    <w:tmpl w:val="002039B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C7A7951"/>
    <w:multiLevelType w:val="hybridMultilevel"/>
    <w:tmpl w:val="B35EB5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1141A8D"/>
    <w:multiLevelType w:val="hybridMultilevel"/>
    <w:tmpl w:val="9926F08A"/>
    <w:lvl w:ilvl="0" w:tplc="BB5EB044">
      <w:start w:val="1"/>
      <w:numFmt w:val="bullet"/>
      <w:lvlText w:val=""/>
      <w:lvlPicBulletId w:val="0"/>
      <w:lvlJc w:val="left"/>
      <w:pPr>
        <w:tabs>
          <w:tab w:val="num" w:pos="720"/>
        </w:tabs>
        <w:ind w:left="720" w:hanging="360"/>
      </w:pPr>
      <w:rPr>
        <w:rFonts w:ascii="Symbol" w:hAnsi="Symbol" w:hint="default"/>
      </w:rPr>
    </w:lvl>
    <w:lvl w:ilvl="1" w:tplc="AA260286" w:tentative="1">
      <w:start w:val="1"/>
      <w:numFmt w:val="bullet"/>
      <w:lvlText w:val=""/>
      <w:lvlPicBulletId w:val="0"/>
      <w:lvlJc w:val="left"/>
      <w:pPr>
        <w:tabs>
          <w:tab w:val="num" w:pos="1440"/>
        </w:tabs>
        <w:ind w:left="1440" w:hanging="360"/>
      </w:pPr>
      <w:rPr>
        <w:rFonts w:ascii="Symbol" w:hAnsi="Symbol" w:hint="default"/>
      </w:rPr>
    </w:lvl>
    <w:lvl w:ilvl="2" w:tplc="143A4BD0" w:tentative="1">
      <w:start w:val="1"/>
      <w:numFmt w:val="bullet"/>
      <w:lvlText w:val=""/>
      <w:lvlPicBulletId w:val="0"/>
      <w:lvlJc w:val="left"/>
      <w:pPr>
        <w:tabs>
          <w:tab w:val="num" w:pos="2160"/>
        </w:tabs>
        <w:ind w:left="2160" w:hanging="360"/>
      </w:pPr>
      <w:rPr>
        <w:rFonts w:ascii="Symbol" w:hAnsi="Symbol" w:hint="default"/>
      </w:rPr>
    </w:lvl>
    <w:lvl w:ilvl="3" w:tplc="E0C8D26A" w:tentative="1">
      <w:start w:val="1"/>
      <w:numFmt w:val="bullet"/>
      <w:lvlText w:val=""/>
      <w:lvlPicBulletId w:val="0"/>
      <w:lvlJc w:val="left"/>
      <w:pPr>
        <w:tabs>
          <w:tab w:val="num" w:pos="2880"/>
        </w:tabs>
        <w:ind w:left="2880" w:hanging="360"/>
      </w:pPr>
      <w:rPr>
        <w:rFonts w:ascii="Symbol" w:hAnsi="Symbol" w:hint="default"/>
      </w:rPr>
    </w:lvl>
    <w:lvl w:ilvl="4" w:tplc="BB94AD5C" w:tentative="1">
      <w:start w:val="1"/>
      <w:numFmt w:val="bullet"/>
      <w:lvlText w:val=""/>
      <w:lvlPicBulletId w:val="0"/>
      <w:lvlJc w:val="left"/>
      <w:pPr>
        <w:tabs>
          <w:tab w:val="num" w:pos="3600"/>
        </w:tabs>
        <w:ind w:left="3600" w:hanging="360"/>
      </w:pPr>
      <w:rPr>
        <w:rFonts w:ascii="Symbol" w:hAnsi="Symbol" w:hint="default"/>
      </w:rPr>
    </w:lvl>
    <w:lvl w:ilvl="5" w:tplc="20D4BA60" w:tentative="1">
      <w:start w:val="1"/>
      <w:numFmt w:val="bullet"/>
      <w:lvlText w:val=""/>
      <w:lvlPicBulletId w:val="0"/>
      <w:lvlJc w:val="left"/>
      <w:pPr>
        <w:tabs>
          <w:tab w:val="num" w:pos="4320"/>
        </w:tabs>
        <w:ind w:left="4320" w:hanging="360"/>
      </w:pPr>
      <w:rPr>
        <w:rFonts w:ascii="Symbol" w:hAnsi="Symbol" w:hint="default"/>
      </w:rPr>
    </w:lvl>
    <w:lvl w:ilvl="6" w:tplc="A3A478D2" w:tentative="1">
      <w:start w:val="1"/>
      <w:numFmt w:val="bullet"/>
      <w:lvlText w:val=""/>
      <w:lvlPicBulletId w:val="0"/>
      <w:lvlJc w:val="left"/>
      <w:pPr>
        <w:tabs>
          <w:tab w:val="num" w:pos="5040"/>
        </w:tabs>
        <w:ind w:left="5040" w:hanging="360"/>
      </w:pPr>
      <w:rPr>
        <w:rFonts w:ascii="Symbol" w:hAnsi="Symbol" w:hint="default"/>
      </w:rPr>
    </w:lvl>
    <w:lvl w:ilvl="7" w:tplc="B2C0EE48" w:tentative="1">
      <w:start w:val="1"/>
      <w:numFmt w:val="bullet"/>
      <w:lvlText w:val=""/>
      <w:lvlPicBulletId w:val="0"/>
      <w:lvlJc w:val="left"/>
      <w:pPr>
        <w:tabs>
          <w:tab w:val="num" w:pos="5760"/>
        </w:tabs>
        <w:ind w:left="5760" w:hanging="360"/>
      </w:pPr>
      <w:rPr>
        <w:rFonts w:ascii="Symbol" w:hAnsi="Symbol" w:hint="default"/>
      </w:rPr>
    </w:lvl>
    <w:lvl w:ilvl="8" w:tplc="F702CEBC" w:tentative="1">
      <w:start w:val="1"/>
      <w:numFmt w:val="bullet"/>
      <w:lvlText w:val=""/>
      <w:lvlPicBulletId w:val="0"/>
      <w:lvlJc w:val="left"/>
      <w:pPr>
        <w:tabs>
          <w:tab w:val="num" w:pos="6480"/>
        </w:tabs>
        <w:ind w:left="6480" w:hanging="360"/>
      </w:pPr>
      <w:rPr>
        <w:rFonts w:ascii="Symbol" w:hAnsi="Symbol" w:hint="default"/>
      </w:rPr>
    </w:lvl>
  </w:abstractNum>
  <w:abstractNum w:abstractNumId="12" w15:restartNumberingAfterBreak="0">
    <w:nsid w:val="70693E19"/>
    <w:multiLevelType w:val="hybridMultilevel"/>
    <w:tmpl w:val="FBA6B1CE"/>
    <w:lvl w:ilvl="0" w:tplc="CC1A90EE">
      <w:start w:val="1"/>
      <w:numFmt w:val="bullet"/>
      <w:lvlText w:val=""/>
      <w:lvlPicBulletId w:val="0"/>
      <w:lvlJc w:val="left"/>
      <w:pPr>
        <w:tabs>
          <w:tab w:val="num" w:pos="720"/>
        </w:tabs>
        <w:ind w:left="720" w:hanging="360"/>
      </w:pPr>
      <w:rPr>
        <w:rFonts w:ascii="Symbol" w:hAnsi="Symbol" w:hint="default"/>
      </w:rPr>
    </w:lvl>
    <w:lvl w:ilvl="1" w:tplc="813EC226" w:tentative="1">
      <w:start w:val="1"/>
      <w:numFmt w:val="bullet"/>
      <w:lvlText w:val=""/>
      <w:lvlPicBulletId w:val="0"/>
      <w:lvlJc w:val="left"/>
      <w:pPr>
        <w:tabs>
          <w:tab w:val="num" w:pos="1440"/>
        </w:tabs>
        <w:ind w:left="1440" w:hanging="360"/>
      </w:pPr>
      <w:rPr>
        <w:rFonts w:ascii="Symbol" w:hAnsi="Symbol" w:hint="default"/>
      </w:rPr>
    </w:lvl>
    <w:lvl w:ilvl="2" w:tplc="E7FC5E9E" w:tentative="1">
      <w:start w:val="1"/>
      <w:numFmt w:val="bullet"/>
      <w:lvlText w:val=""/>
      <w:lvlPicBulletId w:val="0"/>
      <w:lvlJc w:val="left"/>
      <w:pPr>
        <w:tabs>
          <w:tab w:val="num" w:pos="2160"/>
        </w:tabs>
        <w:ind w:left="2160" w:hanging="360"/>
      </w:pPr>
      <w:rPr>
        <w:rFonts w:ascii="Symbol" w:hAnsi="Symbol" w:hint="default"/>
      </w:rPr>
    </w:lvl>
    <w:lvl w:ilvl="3" w:tplc="49BE8502" w:tentative="1">
      <w:start w:val="1"/>
      <w:numFmt w:val="bullet"/>
      <w:lvlText w:val=""/>
      <w:lvlPicBulletId w:val="0"/>
      <w:lvlJc w:val="left"/>
      <w:pPr>
        <w:tabs>
          <w:tab w:val="num" w:pos="2880"/>
        </w:tabs>
        <w:ind w:left="2880" w:hanging="360"/>
      </w:pPr>
      <w:rPr>
        <w:rFonts w:ascii="Symbol" w:hAnsi="Symbol" w:hint="default"/>
      </w:rPr>
    </w:lvl>
    <w:lvl w:ilvl="4" w:tplc="1B781F22" w:tentative="1">
      <w:start w:val="1"/>
      <w:numFmt w:val="bullet"/>
      <w:lvlText w:val=""/>
      <w:lvlPicBulletId w:val="0"/>
      <w:lvlJc w:val="left"/>
      <w:pPr>
        <w:tabs>
          <w:tab w:val="num" w:pos="3600"/>
        </w:tabs>
        <w:ind w:left="3600" w:hanging="360"/>
      </w:pPr>
      <w:rPr>
        <w:rFonts w:ascii="Symbol" w:hAnsi="Symbol" w:hint="default"/>
      </w:rPr>
    </w:lvl>
    <w:lvl w:ilvl="5" w:tplc="A88C84F2" w:tentative="1">
      <w:start w:val="1"/>
      <w:numFmt w:val="bullet"/>
      <w:lvlText w:val=""/>
      <w:lvlPicBulletId w:val="0"/>
      <w:lvlJc w:val="left"/>
      <w:pPr>
        <w:tabs>
          <w:tab w:val="num" w:pos="4320"/>
        </w:tabs>
        <w:ind w:left="4320" w:hanging="360"/>
      </w:pPr>
      <w:rPr>
        <w:rFonts w:ascii="Symbol" w:hAnsi="Symbol" w:hint="default"/>
      </w:rPr>
    </w:lvl>
    <w:lvl w:ilvl="6" w:tplc="D67271B4" w:tentative="1">
      <w:start w:val="1"/>
      <w:numFmt w:val="bullet"/>
      <w:lvlText w:val=""/>
      <w:lvlPicBulletId w:val="0"/>
      <w:lvlJc w:val="left"/>
      <w:pPr>
        <w:tabs>
          <w:tab w:val="num" w:pos="5040"/>
        </w:tabs>
        <w:ind w:left="5040" w:hanging="360"/>
      </w:pPr>
      <w:rPr>
        <w:rFonts w:ascii="Symbol" w:hAnsi="Symbol" w:hint="default"/>
      </w:rPr>
    </w:lvl>
    <w:lvl w:ilvl="7" w:tplc="93EC2C82" w:tentative="1">
      <w:start w:val="1"/>
      <w:numFmt w:val="bullet"/>
      <w:lvlText w:val=""/>
      <w:lvlPicBulletId w:val="0"/>
      <w:lvlJc w:val="left"/>
      <w:pPr>
        <w:tabs>
          <w:tab w:val="num" w:pos="5760"/>
        </w:tabs>
        <w:ind w:left="5760" w:hanging="360"/>
      </w:pPr>
      <w:rPr>
        <w:rFonts w:ascii="Symbol" w:hAnsi="Symbol" w:hint="default"/>
      </w:rPr>
    </w:lvl>
    <w:lvl w:ilvl="8" w:tplc="F0F81D32" w:tentative="1">
      <w:start w:val="1"/>
      <w:numFmt w:val="bullet"/>
      <w:lvlText w:val=""/>
      <w:lvlPicBulletId w:val="0"/>
      <w:lvlJc w:val="left"/>
      <w:pPr>
        <w:tabs>
          <w:tab w:val="num" w:pos="6480"/>
        </w:tabs>
        <w:ind w:left="6480" w:hanging="360"/>
      </w:pPr>
      <w:rPr>
        <w:rFonts w:ascii="Symbol" w:hAnsi="Symbol" w:hint="default"/>
      </w:rPr>
    </w:lvl>
  </w:abstractNum>
  <w:abstractNum w:abstractNumId="13" w15:restartNumberingAfterBreak="0">
    <w:nsid w:val="73915AAD"/>
    <w:multiLevelType w:val="hybridMultilevel"/>
    <w:tmpl w:val="D10C4264"/>
    <w:lvl w:ilvl="0" w:tplc="40EE3A5E">
      <w:start w:val="1"/>
      <w:numFmt w:val="bullet"/>
      <w:lvlText w:val=""/>
      <w:lvlPicBulletId w:val="0"/>
      <w:lvlJc w:val="left"/>
      <w:pPr>
        <w:tabs>
          <w:tab w:val="num" w:pos="720"/>
        </w:tabs>
        <w:ind w:left="720" w:hanging="360"/>
      </w:pPr>
      <w:rPr>
        <w:rFonts w:ascii="Symbol" w:hAnsi="Symbol" w:hint="default"/>
      </w:rPr>
    </w:lvl>
    <w:lvl w:ilvl="1" w:tplc="995E169A" w:tentative="1">
      <w:start w:val="1"/>
      <w:numFmt w:val="bullet"/>
      <w:lvlText w:val=""/>
      <w:lvlPicBulletId w:val="0"/>
      <w:lvlJc w:val="left"/>
      <w:pPr>
        <w:tabs>
          <w:tab w:val="num" w:pos="1440"/>
        </w:tabs>
        <w:ind w:left="1440" w:hanging="360"/>
      </w:pPr>
      <w:rPr>
        <w:rFonts w:ascii="Symbol" w:hAnsi="Symbol" w:hint="default"/>
      </w:rPr>
    </w:lvl>
    <w:lvl w:ilvl="2" w:tplc="5F88383C" w:tentative="1">
      <w:start w:val="1"/>
      <w:numFmt w:val="bullet"/>
      <w:lvlText w:val=""/>
      <w:lvlPicBulletId w:val="0"/>
      <w:lvlJc w:val="left"/>
      <w:pPr>
        <w:tabs>
          <w:tab w:val="num" w:pos="2160"/>
        </w:tabs>
        <w:ind w:left="2160" w:hanging="360"/>
      </w:pPr>
      <w:rPr>
        <w:rFonts w:ascii="Symbol" w:hAnsi="Symbol" w:hint="default"/>
      </w:rPr>
    </w:lvl>
    <w:lvl w:ilvl="3" w:tplc="CD445AF2" w:tentative="1">
      <w:start w:val="1"/>
      <w:numFmt w:val="bullet"/>
      <w:lvlText w:val=""/>
      <w:lvlPicBulletId w:val="0"/>
      <w:lvlJc w:val="left"/>
      <w:pPr>
        <w:tabs>
          <w:tab w:val="num" w:pos="2880"/>
        </w:tabs>
        <w:ind w:left="2880" w:hanging="360"/>
      </w:pPr>
      <w:rPr>
        <w:rFonts w:ascii="Symbol" w:hAnsi="Symbol" w:hint="default"/>
      </w:rPr>
    </w:lvl>
    <w:lvl w:ilvl="4" w:tplc="4DC4A86A" w:tentative="1">
      <w:start w:val="1"/>
      <w:numFmt w:val="bullet"/>
      <w:lvlText w:val=""/>
      <w:lvlPicBulletId w:val="0"/>
      <w:lvlJc w:val="left"/>
      <w:pPr>
        <w:tabs>
          <w:tab w:val="num" w:pos="3600"/>
        </w:tabs>
        <w:ind w:left="3600" w:hanging="360"/>
      </w:pPr>
      <w:rPr>
        <w:rFonts w:ascii="Symbol" w:hAnsi="Symbol" w:hint="default"/>
      </w:rPr>
    </w:lvl>
    <w:lvl w:ilvl="5" w:tplc="91D06808" w:tentative="1">
      <w:start w:val="1"/>
      <w:numFmt w:val="bullet"/>
      <w:lvlText w:val=""/>
      <w:lvlPicBulletId w:val="0"/>
      <w:lvlJc w:val="left"/>
      <w:pPr>
        <w:tabs>
          <w:tab w:val="num" w:pos="4320"/>
        </w:tabs>
        <w:ind w:left="4320" w:hanging="360"/>
      </w:pPr>
      <w:rPr>
        <w:rFonts w:ascii="Symbol" w:hAnsi="Symbol" w:hint="default"/>
      </w:rPr>
    </w:lvl>
    <w:lvl w:ilvl="6" w:tplc="5206FFF4" w:tentative="1">
      <w:start w:val="1"/>
      <w:numFmt w:val="bullet"/>
      <w:lvlText w:val=""/>
      <w:lvlPicBulletId w:val="0"/>
      <w:lvlJc w:val="left"/>
      <w:pPr>
        <w:tabs>
          <w:tab w:val="num" w:pos="5040"/>
        </w:tabs>
        <w:ind w:left="5040" w:hanging="360"/>
      </w:pPr>
      <w:rPr>
        <w:rFonts w:ascii="Symbol" w:hAnsi="Symbol" w:hint="default"/>
      </w:rPr>
    </w:lvl>
    <w:lvl w:ilvl="7" w:tplc="C8064A3E" w:tentative="1">
      <w:start w:val="1"/>
      <w:numFmt w:val="bullet"/>
      <w:lvlText w:val=""/>
      <w:lvlPicBulletId w:val="0"/>
      <w:lvlJc w:val="left"/>
      <w:pPr>
        <w:tabs>
          <w:tab w:val="num" w:pos="5760"/>
        </w:tabs>
        <w:ind w:left="5760" w:hanging="360"/>
      </w:pPr>
      <w:rPr>
        <w:rFonts w:ascii="Symbol" w:hAnsi="Symbol" w:hint="default"/>
      </w:rPr>
    </w:lvl>
    <w:lvl w:ilvl="8" w:tplc="C570EF8C" w:tentative="1">
      <w:start w:val="1"/>
      <w:numFmt w:val="bullet"/>
      <w:lvlText w:val=""/>
      <w:lvlPicBulletId w:val="0"/>
      <w:lvlJc w:val="left"/>
      <w:pPr>
        <w:tabs>
          <w:tab w:val="num" w:pos="6480"/>
        </w:tabs>
        <w:ind w:left="6480" w:hanging="360"/>
      </w:pPr>
      <w:rPr>
        <w:rFonts w:ascii="Symbol" w:hAnsi="Symbol" w:hint="default"/>
      </w:rPr>
    </w:lvl>
  </w:abstractNum>
  <w:abstractNum w:abstractNumId="14" w15:restartNumberingAfterBreak="0">
    <w:nsid w:val="7A8A4542"/>
    <w:multiLevelType w:val="hybridMultilevel"/>
    <w:tmpl w:val="68DC45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
  </w:num>
  <w:num w:numId="3">
    <w:abstractNumId w:val="5"/>
  </w:num>
  <w:num w:numId="4">
    <w:abstractNumId w:val="7"/>
  </w:num>
  <w:num w:numId="5">
    <w:abstractNumId w:val="9"/>
  </w:num>
  <w:num w:numId="6">
    <w:abstractNumId w:val="4"/>
  </w:num>
  <w:num w:numId="7">
    <w:abstractNumId w:val="10"/>
  </w:num>
  <w:num w:numId="8">
    <w:abstractNumId w:val="14"/>
  </w:num>
  <w:num w:numId="9">
    <w:abstractNumId w:val="11"/>
  </w:num>
  <w:num w:numId="10">
    <w:abstractNumId w:val="0"/>
  </w:num>
  <w:num w:numId="11">
    <w:abstractNumId w:val="6"/>
  </w:num>
  <w:num w:numId="12">
    <w:abstractNumId w:val="2"/>
  </w:num>
  <w:num w:numId="13">
    <w:abstractNumId w:val="12"/>
  </w:num>
  <w:num w:numId="14">
    <w:abstractNumId w:val="1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829"/>
    <w:rsid w:val="00091EEC"/>
    <w:rsid w:val="000A2A46"/>
    <w:rsid w:val="001077AC"/>
    <w:rsid w:val="00120F09"/>
    <w:rsid w:val="00181E18"/>
    <w:rsid w:val="001E2150"/>
    <w:rsid w:val="001E2695"/>
    <w:rsid w:val="00254360"/>
    <w:rsid w:val="002A3673"/>
    <w:rsid w:val="002D322F"/>
    <w:rsid w:val="002E2786"/>
    <w:rsid w:val="003262E8"/>
    <w:rsid w:val="00343DE9"/>
    <w:rsid w:val="003635E4"/>
    <w:rsid w:val="00396829"/>
    <w:rsid w:val="004B0087"/>
    <w:rsid w:val="004F4AA4"/>
    <w:rsid w:val="005D7A00"/>
    <w:rsid w:val="005F2F0A"/>
    <w:rsid w:val="005F3175"/>
    <w:rsid w:val="006504AB"/>
    <w:rsid w:val="00662F76"/>
    <w:rsid w:val="00687324"/>
    <w:rsid w:val="006F06E2"/>
    <w:rsid w:val="007811F4"/>
    <w:rsid w:val="00791752"/>
    <w:rsid w:val="0079472C"/>
    <w:rsid w:val="007B596F"/>
    <w:rsid w:val="007C5CF0"/>
    <w:rsid w:val="008412EB"/>
    <w:rsid w:val="00903171"/>
    <w:rsid w:val="00907D35"/>
    <w:rsid w:val="00962BEB"/>
    <w:rsid w:val="009C4734"/>
    <w:rsid w:val="00A5609B"/>
    <w:rsid w:val="00A728E6"/>
    <w:rsid w:val="00AB5924"/>
    <w:rsid w:val="00AC5A1B"/>
    <w:rsid w:val="00AD608B"/>
    <w:rsid w:val="00B1566F"/>
    <w:rsid w:val="00B15747"/>
    <w:rsid w:val="00B336AF"/>
    <w:rsid w:val="00B617CA"/>
    <w:rsid w:val="00BC0498"/>
    <w:rsid w:val="00CA31C7"/>
    <w:rsid w:val="00D57C15"/>
    <w:rsid w:val="00D80FC4"/>
    <w:rsid w:val="00DD2CD3"/>
    <w:rsid w:val="00DD358B"/>
    <w:rsid w:val="00DD6BF1"/>
    <w:rsid w:val="00E27C0B"/>
    <w:rsid w:val="00E30BFC"/>
    <w:rsid w:val="00E67B26"/>
    <w:rsid w:val="00E949A6"/>
    <w:rsid w:val="00EA0E42"/>
    <w:rsid w:val="00ED3EAD"/>
    <w:rsid w:val="00F205B5"/>
    <w:rsid w:val="00F84719"/>
    <w:rsid w:val="00FC58AF"/>
    <w:rsid w:val="00FE5B0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12A673B"/>
  <w15:docId w15:val="{23A7B9FC-7535-4C3F-AA73-58E8DC224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07D3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396829"/>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paragraph" w:styleId="Heading3">
    <w:name w:val="heading 3"/>
    <w:basedOn w:val="Normal"/>
    <w:link w:val="Heading3Char"/>
    <w:uiPriority w:val="9"/>
    <w:qFormat/>
    <w:rsid w:val="00396829"/>
    <w:pPr>
      <w:spacing w:before="100" w:beforeAutospacing="1" w:after="100" w:afterAutospacing="1" w:line="240" w:lineRule="auto"/>
      <w:outlineLvl w:val="2"/>
    </w:pPr>
    <w:rPr>
      <w:rFonts w:ascii="Times New Roman" w:eastAsia="Times New Roman" w:hAnsi="Times New Roman" w:cs="Times New Roman"/>
      <w:b/>
      <w:bCs/>
      <w:sz w:val="27"/>
      <w:szCs w:val="27"/>
      <w:lang w:eastAsia="en-NZ"/>
    </w:rPr>
  </w:style>
  <w:style w:type="paragraph" w:styleId="Heading4">
    <w:name w:val="heading 4"/>
    <w:basedOn w:val="Normal"/>
    <w:next w:val="Normal"/>
    <w:link w:val="Heading4Char"/>
    <w:uiPriority w:val="9"/>
    <w:unhideWhenUsed/>
    <w:qFormat/>
    <w:rsid w:val="00791752"/>
    <w:pPr>
      <w:keepNext/>
      <w:keepLines/>
      <w:spacing w:before="200" w:after="0" w:line="259" w:lineRule="auto"/>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96829"/>
    <w:rPr>
      <w:rFonts w:ascii="Times New Roman" w:eastAsia="Times New Roman" w:hAnsi="Times New Roman" w:cs="Times New Roman"/>
      <w:b/>
      <w:bCs/>
      <w:sz w:val="36"/>
      <w:szCs w:val="36"/>
      <w:lang w:eastAsia="en-NZ"/>
    </w:rPr>
  </w:style>
  <w:style w:type="character" w:customStyle="1" w:styleId="Heading3Char">
    <w:name w:val="Heading 3 Char"/>
    <w:basedOn w:val="DefaultParagraphFont"/>
    <w:link w:val="Heading3"/>
    <w:uiPriority w:val="9"/>
    <w:rsid w:val="00396829"/>
    <w:rPr>
      <w:rFonts w:ascii="Times New Roman" w:eastAsia="Times New Roman" w:hAnsi="Times New Roman" w:cs="Times New Roman"/>
      <w:b/>
      <w:bCs/>
      <w:sz w:val="27"/>
      <w:szCs w:val="27"/>
      <w:lang w:eastAsia="en-NZ"/>
    </w:rPr>
  </w:style>
  <w:style w:type="paragraph" w:styleId="NormalWeb">
    <w:name w:val="Normal (Web)"/>
    <w:basedOn w:val="Normal"/>
    <w:uiPriority w:val="99"/>
    <w:semiHidden/>
    <w:unhideWhenUsed/>
    <w:rsid w:val="00396829"/>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4F4AA4"/>
    <w:rPr>
      <w:color w:val="0000FF" w:themeColor="hyperlink"/>
      <w:u w:val="single"/>
    </w:rPr>
  </w:style>
  <w:style w:type="character" w:customStyle="1" w:styleId="apple-converted-space">
    <w:name w:val="apple-converted-space"/>
    <w:basedOn w:val="DefaultParagraphFont"/>
    <w:rsid w:val="000A2A46"/>
  </w:style>
  <w:style w:type="character" w:styleId="Emphasis">
    <w:name w:val="Emphasis"/>
    <w:basedOn w:val="DefaultParagraphFont"/>
    <w:uiPriority w:val="20"/>
    <w:qFormat/>
    <w:rsid w:val="000A2A46"/>
    <w:rPr>
      <w:i/>
      <w:iCs/>
    </w:rPr>
  </w:style>
  <w:style w:type="character" w:customStyle="1" w:styleId="Heading1Char">
    <w:name w:val="Heading 1 Char"/>
    <w:basedOn w:val="DefaultParagraphFont"/>
    <w:link w:val="Heading1"/>
    <w:uiPriority w:val="9"/>
    <w:rsid w:val="00907D35"/>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07D35"/>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A3673"/>
    <w:rPr>
      <w:color w:val="800080" w:themeColor="followedHyperlink"/>
      <w:u w:val="single"/>
    </w:rPr>
  </w:style>
  <w:style w:type="paragraph" w:styleId="ListParagraph">
    <w:name w:val="List Paragraph"/>
    <w:basedOn w:val="Normal"/>
    <w:link w:val="ListParagraphChar"/>
    <w:uiPriority w:val="34"/>
    <w:qFormat/>
    <w:rsid w:val="00B1566F"/>
    <w:pPr>
      <w:ind w:left="720"/>
      <w:contextualSpacing/>
    </w:pPr>
    <w:rPr>
      <w:rFonts w:eastAsiaTheme="minorEastAsia"/>
      <w:lang w:eastAsia="en-NZ"/>
    </w:rPr>
  </w:style>
  <w:style w:type="table" w:styleId="TableGrid">
    <w:name w:val="Table Grid"/>
    <w:basedOn w:val="TableNormal"/>
    <w:uiPriority w:val="39"/>
    <w:rsid w:val="00AD60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343DE9"/>
    <w:rPr>
      <w:b/>
      <w:bCs/>
      <w:color w:val="auto"/>
    </w:rPr>
  </w:style>
  <w:style w:type="character" w:customStyle="1" w:styleId="Heading4Char">
    <w:name w:val="Heading 4 Char"/>
    <w:basedOn w:val="DefaultParagraphFont"/>
    <w:link w:val="Heading4"/>
    <w:uiPriority w:val="9"/>
    <w:rsid w:val="00791752"/>
    <w:rPr>
      <w:rFonts w:asciiTheme="majorHAnsi" w:eastAsiaTheme="majorEastAsia" w:hAnsiTheme="majorHAnsi" w:cstheme="majorBidi"/>
      <w:b/>
      <w:bCs/>
      <w:i/>
      <w:iCs/>
      <w:color w:val="4F81BD" w:themeColor="accent1"/>
    </w:rPr>
  </w:style>
  <w:style w:type="character" w:customStyle="1" w:styleId="ListParagraphChar">
    <w:name w:val="List Paragraph Char"/>
    <w:basedOn w:val="DefaultParagraphFont"/>
    <w:link w:val="ListParagraph"/>
    <w:uiPriority w:val="34"/>
    <w:locked/>
    <w:rsid w:val="005F3175"/>
    <w:rPr>
      <w:rFonts w:eastAsiaTheme="minorEastAsia"/>
      <w:lang w:eastAsia="en-NZ"/>
    </w:rPr>
  </w:style>
  <w:style w:type="paragraph" w:styleId="Header">
    <w:name w:val="header"/>
    <w:basedOn w:val="Normal"/>
    <w:link w:val="HeaderChar"/>
    <w:uiPriority w:val="99"/>
    <w:unhideWhenUsed/>
    <w:rsid w:val="005F317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3175"/>
  </w:style>
  <w:style w:type="paragraph" w:styleId="Footer">
    <w:name w:val="footer"/>
    <w:basedOn w:val="Normal"/>
    <w:link w:val="FooterChar"/>
    <w:uiPriority w:val="99"/>
    <w:unhideWhenUsed/>
    <w:rsid w:val="005F317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3175"/>
  </w:style>
  <w:style w:type="paragraph" w:styleId="BalloonText">
    <w:name w:val="Balloon Text"/>
    <w:basedOn w:val="Normal"/>
    <w:link w:val="BalloonTextChar"/>
    <w:uiPriority w:val="99"/>
    <w:semiHidden/>
    <w:unhideWhenUsed/>
    <w:rsid w:val="00B617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617C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0716">
      <w:bodyDiv w:val="1"/>
      <w:marLeft w:val="0"/>
      <w:marRight w:val="0"/>
      <w:marTop w:val="0"/>
      <w:marBottom w:val="0"/>
      <w:divBdr>
        <w:top w:val="none" w:sz="0" w:space="0" w:color="auto"/>
        <w:left w:val="none" w:sz="0" w:space="0" w:color="auto"/>
        <w:bottom w:val="none" w:sz="0" w:space="0" w:color="auto"/>
        <w:right w:val="none" w:sz="0" w:space="0" w:color="auto"/>
      </w:divBdr>
    </w:div>
    <w:div w:id="99880382">
      <w:bodyDiv w:val="1"/>
      <w:marLeft w:val="0"/>
      <w:marRight w:val="0"/>
      <w:marTop w:val="0"/>
      <w:marBottom w:val="0"/>
      <w:divBdr>
        <w:top w:val="none" w:sz="0" w:space="0" w:color="auto"/>
        <w:left w:val="none" w:sz="0" w:space="0" w:color="auto"/>
        <w:bottom w:val="none" w:sz="0" w:space="0" w:color="auto"/>
        <w:right w:val="none" w:sz="0" w:space="0" w:color="auto"/>
      </w:divBdr>
    </w:div>
    <w:div w:id="376199952">
      <w:bodyDiv w:val="1"/>
      <w:marLeft w:val="0"/>
      <w:marRight w:val="0"/>
      <w:marTop w:val="0"/>
      <w:marBottom w:val="0"/>
      <w:divBdr>
        <w:top w:val="none" w:sz="0" w:space="0" w:color="auto"/>
        <w:left w:val="none" w:sz="0" w:space="0" w:color="auto"/>
        <w:bottom w:val="none" w:sz="0" w:space="0" w:color="auto"/>
        <w:right w:val="none" w:sz="0" w:space="0" w:color="auto"/>
      </w:divBdr>
      <w:divsChild>
        <w:div w:id="1858035141">
          <w:marLeft w:val="547"/>
          <w:marRight w:val="0"/>
          <w:marTop w:val="120"/>
          <w:marBottom w:val="0"/>
          <w:divBdr>
            <w:top w:val="none" w:sz="0" w:space="0" w:color="auto"/>
            <w:left w:val="none" w:sz="0" w:space="0" w:color="auto"/>
            <w:bottom w:val="none" w:sz="0" w:space="0" w:color="auto"/>
            <w:right w:val="none" w:sz="0" w:space="0" w:color="auto"/>
          </w:divBdr>
        </w:div>
        <w:div w:id="560138451">
          <w:marLeft w:val="547"/>
          <w:marRight w:val="0"/>
          <w:marTop w:val="120"/>
          <w:marBottom w:val="0"/>
          <w:divBdr>
            <w:top w:val="none" w:sz="0" w:space="0" w:color="auto"/>
            <w:left w:val="none" w:sz="0" w:space="0" w:color="auto"/>
            <w:bottom w:val="none" w:sz="0" w:space="0" w:color="auto"/>
            <w:right w:val="none" w:sz="0" w:space="0" w:color="auto"/>
          </w:divBdr>
        </w:div>
      </w:divsChild>
    </w:div>
    <w:div w:id="385222993">
      <w:bodyDiv w:val="1"/>
      <w:marLeft w:val="0"/>
      <w:marRight w:val="0"/>
      <w:marTop w:val="0"/>
      <w:marBottom w:val="0"/>
      <w:divBdr>
        <w:top w:val="none" w:sz="0" w:space="0" w:color="auto"/>
        <w:left w:val="none" w:sz="0" w:space="0" w:color="auto"/>
        <w:bottom w:val="none" w:sz="0" w:space="0" w:color="auto"/>
        <w:right w:val="none" w:sz="0" w:space="0" w:color="auto"/>
      </w:divBdr>
      <w:divsChild>
        <w:div w:id="295138906">
          <w:marLeft w:val="547"/>
          <w:marRight w:val="0"/>
          <w:marTop w:val="134"/>
          <w:marBottom w:val="0"/>
          <w:divBdr>
            <w:top w:val="none" w:sz="0" w:space="0" w:color="auto"/>
            <w:left w:val="none" w:sz="0" w:space="0" w:color="auto"/>
            <w:bottom w:val="none" w:sz="0" w:space="0" w:color="auto"/>
            <w:right w:val="none" w:sz="0" w:space="0" w:color="auto"/>
          </w:divBdr>
        </w:div>
      </w:divsChild>
    </w:div>
    <w:div w:id="543441497">
      <w:bodyDiv w:val="1"/>
      <w:marLeft w:val="0"/>
      <w:marRight w:val="0"/>
      <w:marTop w:val="0"/>
      <w:marBottom w:val="0"/>
      <w:divBdr>
        <w:top w:val="none" w:sz="0" w:space="0" w:color="auto"/>
        <w:left w:val="none" w:sz="0" w:space="0" w:color="auto"/>
        <w:bottom w:val="none" w:sz="0" w:space="0" w:color="auto"/>
        <w:right w:val="none" w:sz="0" w:space="0" w:color="auto"/>
      </w:divBdr>
    </w:div>
    <w:div w:id="573007993">
      <w:bodyDiv w:val="1"/>
      <w:marLeft w:val="0"/>
      <w:marRight w:val="0"/>
      <w:marTop w:val="0"/>
      <w:marBottom w:val="0"/>
      <w:divBdr>
        <w:top w:val="none" w:sz="0" w:space="0" w:color="auto"/>
        <w:left w:val="none" w:sz="0" w:space="0" w:color="auto"/>
        <w:bottom w:val="none" w:sz="0" w:space="0" w:color="auto"/>
        <w:right w:val="none" w:sz="0" w:space="0" w:color="auto"/>
      </w:divBdr>
      <w:divsChild>
        <w:div w:id="2032224847">
          <w:marLeft w:val="274"/>
          <w:marRight w:val="0"/>
          <w:marTop w:val="86"/>
          <w:marBottom w:val="0"/>
          <w:divBdr>
            <w:top w:val="none" w:sz="0" w:space="0" w:color="auto"/>
            <w:left w:val="none" w:sz="0" w:space="0" w:color="auto"/>
            <w:bottom w:val="none" w:sz="0" w:space="0" w:color="auto"/>
            <w:right w:val="none" w:sz="0" w:space="0" w:color="auto"/>
          </w:divBdr>
        </w:div>
        <w:div w:id="1364867874">
          <w:marLeft w:val="274"/>
          <w:marRight w:val="0"/>
          <w:marTop w:val="86"/>
          <w:marBottom w:val="0"/>
          <w:divBdr>
            <w:top w:val="none" w:sz="0" w:space="0" w:color="auto"/>
            <w:left w:val="none" w:sz="0" w:space="0" w:color="auto"/>
            <w:bottom w:val="none" w:sz="0" w:space="0" w:color="auto"/>
            <w:right w:val="none" w:sz="0" w:space="0" w:color="auto"/>
          </w:divBdr>
        </w:div>
        <w:div w:id="1334526738">
          <w:marLeft w:val="274"/>
          <w:marRight w:val="0"/>
          <w:marTop w:val="86"/>
          <w:marBottom w:val="0"/>
          <w:divBdr>
            <w:top w:val="none" w:sz="0" w:space="0" w:color="auto"/>
            <w:left w:val="none" w:sz="0" w:space="0" w:color="auto"/>
            <w:bottom w:val="none" w:sz="0" w:space="0" w:color="auto"/>
            <w:right w:val="none" w:sz="0" w:space="0" w:color="auto"/>
          </w:divBdr>
        </w:div>
      </w:divsChild>
    </w:div>
    <w:div w:id="1265962033">
      <w:bodyDiv w:val="1"/>
      <w:marLeft w:val="0"/>
      <w:marRight w:val="0"/>
      <w:marTop w:val="0"/>
      <w:marBottom w:val="0"/>
      <w:divBdr>
        <w:top w:val="none" w:sz="0" w:space="0" w:color="auto"/>
        <w:left w:val="none" w:sz="0" w:space="0" w:color="auto"/>
        <w:bottom w:val="none" w:sz="0" w:space="0" w:color="auto"/>
        <w:right w:val="none" w:sz="0" w:space="0" w:color="auto"/>
      </w:divBdr>
    </w:div>
    <w:div w:id="1389380996">
      <w:bodyDiv w:val="1"/>
      <w:marLeft w:val="0"/>
      <w:marRight w:val="0"/>
      <w:marTop w:val="0"/>
      <w:marBottom w:val="0"/>
      <w:divBdr>
        <w:top w:val="none" w:sz="0" w:space="0" w:color="auto"/>
        <w:left w:val="none" w:sz="0" w:space="0" w:color="auto"/>
        <w:bottom w:val="none" w:sz="0" w:space="0" w:color="auto"/>
        <w:right w:val="none" w:sz="0" w:space="0" w:color="auto"/>
      </w:divBdr>
    </w:div>
    <w:div w:id="1429690077">
      <w:bodyDiv w:val="1"/>
      <w:marLeft w:val="0"/>
      <w:marRight w:val="0"/>
      <w:marTop w:val="0"/>
      <w:marBottom w:val="0"/>
      <w:divBdr>
        <w:top w:val="none" w:sz="0" w:space="0" w:color="auto"/>
        <w:left w:val="none" w:sz="0" w:space="0" w:color="auto"/>
        <w:bottom w:val="none" w:sz="0" w:space="0" w:color="auto"/>
        <w:right w:val="none" w:sz="0" w:space="0" w:color="auto"/>
      </w:divBdr>
    </w:div>
    <w:div w:id="2055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tats.govt.nz/methods/data-integration/guide-to-reporting-on-admin-data-quality.aspx" TargetMode="Externa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hyperlink" Target="http://www.stats.govt.nz/methods/data-integration/guide-to-reporting-on-admin-data-quality.aspx" TargetMode="External"/><Relationship Id="rId3" Type="http://schemas.openxmlformats.org/officeDocument/2006/relationships/settings" Target="settings.xml"/><Relationship Id="rId21" Type="http://schemas.openxmlformats.org/officeDocument/2006/relationships/image" Target="media/image7.png"/><Relationship Id="rId34" Type="http://schemas.openxmlformats.org/officeDocument/2006/relationships/hyperlink" Target="http://www.stats.govt.nz/searchresults.aspx?q=guide%20to%20reporting%20the%20quality%20of%20administrative%20data" TargetMode="External"/><Relationship Id="rId42" Type="http://schemas.openxmlformats.org/officeDocument/2006/relationships/hyperlink" Target="http://www.stats.govt.nz/browse_for_stats/income-and-work/employment_and_unemployment/hlfs-sources-methods-2015.aspx" TargetMode="External"/><Relationship Id="rId47" Type="http://schemas.openxmlformats.org/officeDocument/2006/relationships/hyperlink" Target="http://www.stats.govt.nz" TargetMode="External"/><Relationship Id="rId50" Type="http://schemas.openxmlformats.org/officeDocument/2006/relationships/fontTable" Target="fontTable.xml"/><Relationship Id="rId7" Type="http://schemas.openxmlformats.org/officeDocument/2006/relationships/hyperlink" Target="http://www.stats.govt.nz/methods/data-integration/guide-to-reporting-on-admin-data-quality.aspx" TargetMode="External"/><Relationship Id="rId12" Type="http://schemas.openxmlformats.org/officeDocument/2006/relationships/hyperlink" Target="http://www.stats.govt.nz/methods/data-integration/guide-to-reporting-on-admin-data-quality.aspx"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hyperlink" Target="http://www.stats.govt.nz" TargetMode="External"/><Relationship Id="rId46" Type="http://schemas.openxmlformats.org/officeDocument/2006/relationships/hyperlink" Target="http://www.stats.govt.nz/browse_for_stats/income-and-work/Income/NZIncomeSurvey_HOTPJun15qtr.aspx"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image" Target="media/image15.png"/><Relationship Id="rId41" Type="http://schemas.openxmlformats.org/officeDocument/2006/relationships/hyperlink" Target="http://www.stats.govt.nz"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eurostat/cros/content/admindata-sga-1_en"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hyperlink" Target="http://www.stats.govt.nz/methods/research-papers/topss/identifying-nz-resident-pop-in-idi.aspx" TargetMode="External"/><Relationship Id="rId40" Type="http://schemas.openxmlformats.org/officeDocument/2006/relationships/hyperlink" Target="http://www.stats.govt.nz/browse_for_stats/people_and_communities/Households/HouseholdEconomicSurvey_HOTPYeJun15.aspx" TargetMode="External"/><Relationship Id="rId45" Type="http://schemas.openxmlformats.org/officeDocument/2006/relationships/hyperlink" Target="http://www.stats.govt.nz" TargetMode="External"/><Relationship Id="rId5" Type="http://schemas.openxmlformats.org/officeDocument/2006/relationships/footnotes" Target="footnotes.xml"/><Relationship Id="rId15" Type="http://schemas.openxmlformats.org/officeDocument/2006/relationships/footer" Target="footer1.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hyperlink" Target="http://www.stats.govt.nz" TargetMode="External"/><Relationship Id="rId49" Type="http://schemas.openxmlformats.org/officeDocument/2006/relationships/footer" Target="footer2.xml"/><Relationship Id="rId10" Type="http://schemas.openxmlformats.org/officeDocument/2006/relationships/hyperlink" Target="https://ec.europa.eu/eurostat/cros/content/admindata-sga-1_en" TargetMode="External"/><Relationship Id="rId19" Type="http://schemas.openxmlformats.org/officeDocument/2006/relationships/image" Target="media/image5.png"/><Relationship Id="rId31" Type="http://schemas.openxmlformats.org/officeDocument/2006/relationships/image" Target="media/image17.png"/><Relationship Id="rId44" Type="http://schemas.openxmlformats.org/officeDocument/2006/relationships/hyperlink" Target="http://www.stats.govt.nz/browse_for_stats/snapshots-of-nz/integrated-data-infrastructure/idi-resources/linking-methodology-statsnz-idi.aspx" TargetMode="External"/><Relationship Id="rId4" Type="http://schemas.openxmlformats.org/officeDocument/2006/relationships/webSettings" Target="webSettings.xml"/><Relationship Id="rId9" Type="http://schemas.openxmlformats.org/officeDocument/2006/relationships/hyperlink" Target="https://ec.europa.eu/eurostat/cros/content/admindata-sga-1_en" TargetMode="External"/><Relationship Id="rId14" Type="http://schemas.openxmlformats.org/officeDocument/2006/relationships/hyperlink" Target="http://www.stats.govt.nz/browse_for_stats/income-and-work/Income/NZIncomeSurvey_HOTPJun15qtr.aspx"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yperlink" Target="http://www.stats.govt.nz/methods/research-papers/working-papers-original/idi-prototype-spine.aspx" TargetMode="External"/><Relationship Id="rId43" Type="http://schemas.openxmlformats.org/officeDocument/2006/relationships/hyperlink" Target="http://www.stats.govt.nz" TargetMode="External"/><Relationship Id="rId48" Type="http://schemas.openxmlformats.org/officeDocument/2006/relationships/hyperlink" Target="http://onlinelibrary.wiley.com/doi/10.1111/j.1467-9574.2011.00508.x/abstract" TargetMode="External"/><Relationship Id="rId8" Type="http://schemas.openxmlformats.org/officeDocument/2006/relationships/hyperlink" Target="http://onlinelibrary.wiley.com/doi/10.1111/j.1467-9574.2011.00508.x/abstract" TargetMode="External"/><Relationship Id="rId51"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4119</Words>
  <Characters>23483</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Felibel Zabala</dc:creator>
  <cp:lastModifiedBy>Jenine Borowik</cp:lastModifiedBy>
  <cp:revision>2</cp:revision>
  <dcterms:created xsi:type="dcterms:W3CDTF">2017-01-02T14:12:00Z</dcterms:created>
  <dcterms:modified xsi:type="dcterms:W3CDTF">2017-01-02T14:12:00Z</dcterms:modified>
</cp:coreProperties>
</file>