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426" w:rsidRDefault="00D95CBE" w:rsidP="00D95CBE">
      <w:pPr>
        <w:pStyle w:val="Title"/>
      </w:pPr>
      <w:r>
        <w:t>CSPA Maturity and Readiness</w:t>
      </w:r>
    </w:p>
    <w:p w:rsidR="00C1525D" w:rsidRDefault="00C1525D" w:rsidP="001F5C62">
      <w:pPr>
        <w:pStyle w:val="Heading2"/>
        <w:ind w:left="357" w:hanging="357"/>
      </w:pPr>
      <w:r>
        <w:t>Background and objectives</w:t>
      </w:r>
    </w:p>
    <w:p w:rsidR="00226C98" w:rsidRDefault="00226C98" w:rsidP="00226C98">
      <w:r>
        <w:t>CSPA is based on Service Oriented Architecture (SOA) and standards which support sharing.</w:t>
      </w:r>
      <w:r w:rsidRPr="003956B1">
        <w:t xml:space="preserve"> </w:t>
      </w:r>
      <w:r>
        <w:t xml:space="preserve"> </w:t>
      </w:r>
      <w:r w:rsidR="0049710E">
        <w:t xml:space="preserve">With the release of version 1.1, the </w:t>
      </w:r>
      <w:r w:rsidR="003B57A1">
        <w:t xml:space="preserve">CSPA (Common Statistical Production Architecture) </w:t>
      </w:r>
      <w:r w:rsidR="0049710E">
        <w:t xml:space="preserve">now supports </w:t>
      </w:r>
      <w:r w:rsidR="003B57A1">
        <w:t>practical application</w:t>
      </w:r>
      <w:r w:rsidR="00BC67F2">
        <w:t>, and</w:t>
      </w:r>
      <w:r w:rsidR="0049710E">
        <w:t xml:space="preserve"> </w:t>
      </w:r>
      <w:r w:rsidR="003B57A1">
        <w:t>CSPA compliant services are actively being developed, shared and catalogued</w:t>
      </w:r>
      <w:r w:rsidR="00A712DF">
        <w:t>.</w:t>
      </w:r>
      <w:r w:rsidR="0049710E">
        <w:t xml:space="preserve">  However, the community will only obtain value from this investment when statistical organisation</w:t>
      </w:r>
      <w:r w:rsidR="00E930F8" w:rsidRPr="00E930F8">
        <w:t>s</w:t>
      </w:r>
      <w:r w:rsidR="0049710E">
        <w:t xml:space="preserve"> adopt and integrate CSPA compliant services.</w:t>
      </w:r>
    </w:p>
    <w:p w:rsidR="00226C98" w:rsidRDefault="00226C98" w:rsidP="00226C98">
      <w:r>
        <w:t xml:space="preserve">The cost-benefit of adopting and integrating CSPA compliant services is likely to be maximised when agencies apply these individual standards and practices.  Agencies which have adopted these practices and standards will be able to adopt CSPA compliant services quickly and cheaply.  In contrast, an agency poorly placed to implement and integrate SOA based solutions is likely to find it more difficult and expensive to harness them within their broader IT environment. </w:t>
      </w:r>
    </w:p>
    <w:p w:rsidR="003956B1" w:rsidRDefault="0049710E" w:rsidP="0049710E">
      <w:r>
        <w:t>A</w:t>
      </w:r>
      <w:r w:rsidR="0031359D">
        <w:t xml:space="preserve">t its face to face meeting in April 2015 the Modernisation Committee on Production and Methods (MC P&amp;M) concluded it </w:t>
      </w:r>
      <w:r w:rsidR="00547C5A">
        <w:t>i</w:t>
      </w:r>
      <w:r w:rsidR="0031359D">
        <w:t xml:space="preserve">s appropriate to review in more detail how ready agencies are to adopt, and </w:t>
      </w:r>
      <w:r w:rsidR="00940D80">
        <w:t xml:space="preserve">realise practical </w:t>
      </w:r>
      <w:r w:rsidR="0031359D">
        <w:t>benefit</w:t>
      </w:r>
      <w:r w:rsidR="00940D80">
        <w:t>s</w:t>
      </w:r>
      <w:r w:rsidR="0031359D">
        <w:t xml:space="preserve"> from, services being developed and shared via </w:t>
      </w:r>
      <w:r w:rsidR="008E680C">
        <w:t xml:space="preserve">the </w:t>
      </w:r>
      <w:r w:rsidR="0031359D">
        <w:t>CSPA</w:t>
      </w:r>
      <w:r w:rsidR="008E680C">
        <w:t xml:space="preserve"> initiative</w:t>
      </w:r>
      <w:r w:rsidR="0031359D">
        <w:t>.</w:t>
      </w:r>
      <w:r w:rsidRPr="0049710E">
        <w:t xml:space="preserve"> </w:t>
      </w:r>
    </w:p>
    <w:p w:rsidR="008E680C" w:rsidRDefault="0049710E" w:rsidP="00940D80">
      <w:r>
        <w:t xml:space="preserve">A </w:t>
      </w:r>
      <w:r w:rsidR="003956B1">
        <w:t xml:space="preserve">study </w:t>
      </w:r>
      <w:r>
        <w:t>was initiated by this MC P&amp;C to ensure that an appropriate balance was being struck between investing in producing individual CSPA compliant services, and facilitating adoption and integration of those services.</w:t>
      </w:r>
      <w:r w:rsidR="003956B1">
        <w:t xml:space="preserve"> </w:t>
      </w:r>
      <w:r w:rsidR="00876B53">
        <w:t>While th</w:t>
      </w:r>
      <w:r w:rsidR="00A712DF">
        <w:t>is</w:t>
      </w:r>
      <w:r w:rsidR="00876B53">
        <w:t xml:space="preserve"> initial study on readiness/maturity </w:t>
      </w:r>
      <w:r w:rsidR="00A712DF">
        <w:t>i</w:t>
      </w:r>
      <w:r w:rsidR="00876B53">
        <w:t xml:space="preserve">s small and exploratory, a number of findings are </w:t>
      </w:r>
      <w:r w:rsidR="00A712DF">
        <w:t>documented</w:t>
      </w:r>
      <w:r w:rsidR="00876B53">
        <w:t xml:space="preserve"> in this report together with suggestions for possible next steps.</w:t>
      </w:r>
    </w:p>
    <w:p w:rsidR="005B4042" w:rsidRDefault="005B4042" w:rsidP="005B4042">
      <w:pPr>
        <w:pStyle w:val="Heading2"/>
        <w:ind w:left="357" w:hanging="357"/>
      </w:pPr>
      <w:r>
        <w:t xml:space="preserve">Method </w:t>
      </w:r>
    </w:p>
    <w:p w:rsidR="00CD6F6D" w:rsidRDefault="00AE3BC9" w:rsidP="00C1525D">
      <w:r>
        <w:t xml:space="preserve">MC P&amp;M chose to base the assessment </w:t>
      </w:r>
      <w:r w:rsidR="00226C98">
        <w:t xml:space="preserve">of readiness for adopting CSPA compliant services </w:t>
      </w:r>
      <w:r>
        <w:t xml:space="preserve">on the widely recognised and applied </w:t>
      </w:r>
      <w:hyperlink r:id="rId7" w:history="1">
        <w:r w:rsidRPr="00AE3BC9">
          <w:rPr>
            <w:rStyle w:val="Hyperlink"/>
          </w:rPr>
          <w:t>Open Group Service Integration Maturing Model</w:t>
        </w:r>
      </w:hyperlink>
      <w:r>
        <w:t xml:space="preserve"> (OSIM</w:t>
      </w:r>
      <w:r w:rsidR="00613762">
        <w:t>M</w:t>
      </w:r>
      <w:r>
        <w:t>).</w:t>
      </w:r>
      <w:r w:rsidR="00226C98">
        <w:t xml:space="preserve">  Annex 1 of the detailed</w:t>
      </w:r>
      <w:r w:rsidR="00CD6F6D">
        <w:t xml:space="preserve"> report contains the one page questionnaire used to gather readiness assessments for individual agencies, together with the instructions for completion and definitions provided to respondents.</w:t>
      </w:r>
    </w:p>
    <w:p w:rsidR="000C6FDA" w:rsidRDefault="005B4042" w:rsidP="000C6FDA">
      <w:r>
        <w:t>The questionnaire was sent to 11 distinct agencies, with t</w:t>
      </w:r>
      <w:r w:rsidR="003D480E">
        <w:t xml:space="preserve">he full response from each of the 5 agencies is </w:t>
      </w:r>
      <w:hyperlink r:id="rId8" w:history="1">
        <w:r w:rsidR="003D480E" w:rsidRPr="003D480E">
          <w:rPr>
            <w:rStyle w:val="Hyperlink"/>
          </w:rPr>
          <w:t>available via the Working Pages in the MC P&amp;M wiki</w:t>
        </w:r>
      </w:hyperlink>
      <w:r w:rsidR="003D480E">
        <w:t>.</w:t>
      </w:r>
      <w:r>
        <w:t xml:space="preserve">  </w:t>
      </w:r>
      <w:r w:rsidR="000C6FDA">
        <w:t>Due to t</w:t>
      </w:r>
      <w:r w:rsidR="00431DB3">
        <w:t xml:space="preserve">he small number of </w:t>
      </w:r>
      <w:r w:rsidR="000C6FDA">
        <w:t xml:space="preserve">sample in this </w:t>
      </w:r>
      <w:r w:rsidR="006E576F">
        <w:t xml:space="preserve">study </w:t>
      </w:r>
      <w:r w:rsidR="000C6FDA">
        <w:t>caution must be applied in extrapolating results</w:t>
      </w:r>
      <w:r w:rsidR="00431DB3">
        <w:t>.</w:t>
      </w:r>
      <w:r w:rsidR="000C6FDA">
        <w:t xml:space="preserve">  In particular:</w:t>
      </w:r>
    </w:p>
    <w:p w:rsidR="000C6FDA" w:rsidRDefault="000C6FDA" w:rsidP="000C6FDA">
      <w:pPr>
        <w:pStyle w:val="ListParagraph"/>
        <w:numPr>
          <w:ilvl w:val="0"/>
          <w:numId w:val="44"/>
        </w:numPr>
      </w:pPr>
      <w:r>
        <w:t xml:space="preserve">Responses from agencies directly involved in the </w:t>
      </w:r>
      <w:r w:rsidR="00F37076">
        <w:t>MC P&amp;M</w:t>
      </w:r>
      <w:r w:rsidR="00E930F8">
        <w:t xml:space="preserve"> </w:t>
      </w:r>
      <w:r w:rsidR="00E930F8" w:rsidRPr="00F610FB">
        <w:t xml:space="preserve">are </w:t>
      </w:r>
      <w:r w:rsidRPr="00F610FB">
        <w:t xml:space="preserve">likely to </w:t>
      </w:r>
      <w:r w:rsidR="00E930F8" w:rsidRPr="00F610FB">
        <w:t xml:space="preserve">be </w:t>
      </w:r>
      <w:r w:rsidR="00F37076">
        <w:t xml:space="preserve">more strategically </w:t>
      </w:r>
      <w:r>
        <w:t>aligned to the CSPA directions</w:t>
      </w:r>
      <w:r w:rsidR="00F37076">
        <w:t>.</w:t>
      </w:r>
    </w:p>
    <w:p w:rsidR="000C6FDA" w:rsidRDefault="000C6FDA" w:rsidP="000C6FDA">
      <w:pPr>
        <w:pStyle w:val="ListParagraph"/>
        <w:numPr>
          <w:ilvl w:val="0"/>
          <w:numId w:val="44"/>
        </w:numPr>
      </w:pPr>
      <w:r>
        <w:t xml:space="preserve">Some agencies </w:t>
      </w:r>
      <w:r w:rsidR="00DA6E6C">
        <w:t>noted</w:t>
      </w:r>
      <w:r>
        <w:t xml:space="preserve"> a </w:t>
      </w:r>
      <w:r w:rsidR="00DA6E6C">
        <w:t>heterogeneous</w:t>
      </w:r>
      <w:r>
        <w:t xml:space="preserve"> level of maturity, so their responses may not represent all of their </w:t>
      </w:r>
      <w:r w:rsidRPr="00F610FB">
        <w:t>agenc</w:t>
      </w:r>
      <w:r w:rsidR="00E930F8" w:rsidRPr="00F610FB">
        <w:t>y’s</w:t>
      </w:r>
      <w:r w:rsidRPr="00F610FB">
        <w:t xml:space="preserve"> readiness</w:t>
      </w:r>
      <w:r>
        <w:t>.</w:t>
      </w:r>
    </w:p>
    <w:p w:rsidR="000C6FDA" w:rsidRDefault="000C6FDA" w:rsidP="000C6FDA">
      <w:pPr>
        <w:pStyle w:val="ListParagraph"/>
        <w:numPr>
          <w:ilvl w:val="0"/>
          <w:numId w:val="44"/>
        </w:numPr>
      </w:pPr>
      <w:r>
        <w:t xml:space="preserve">The rating scale relied on </w:t>
      </w:r>
      <w:r w:rsidR="006E576F">
        <w:t xml:space="preserve">interpretations </w:t>
      </w:r>
      <w:r>
        <w:t>which may have varied between agencies.</w:t>
      </w:r>
    </w:p>
    <w:p w:rsidR="00386715" w:rsidRPr="00386715" w:rsidRDefault="00431DB3" w:rsidP="000C6FDA">
      <w:r>
        <w:t xml:space="preserve">Nevertheless, the study identifies a number of </w:t>
      </w:r>
      <w:r w:rsidR="006E576F">
        <w:t xml:space="preserve">interesting </w:t>
      </w:r>
      <w:r w:rsidR="000C6FDA">
        <w:t>insights</w:t>
      </w:r>
      <w:r w:rsidR="00F37076">
        <w:t xml:space="preserve">.  </w:t>
      </w:r>
    </w:p>
    <w:p w:rsidR="000A3F9D" w:rsidRDefault="00B20874" w:rsidP="00990389">
      <w:pPr>
        <w:pStyle w:val="Heading2"/>
        <w:ind w:left="357" w:hanging="357"/>
      </w:pPr>
      <w:r>
        <w:lastRenderedPageBreak/>
        <w:t xml:space="preserve">Summary of </w:t>
      </w:r>
      <w:r w:rsidR="00613762">
        <w:t>Results: Maturity Levels</w:t>
      </w:r>
    </w:p>
    <w:p w:rsidR="00FE5906" w:rsidRDefault="00247224" w:rsidP="00247224">
      <w:r>
        <w:t xml:space="preserve">The summary tables from the responses are provided in Table 1: Reported Current Maturity and Table 2: Reported Target Maturity.  </w:t>
      </w:r>
      <w:r w:rsidR="00FE5906">
        <w:t>Key points from the tables are:</w:t>
      </w:r>
    </w:p>
    <w:p w:rsidR="001E0671" w:rsidRDefault="00247224" w:rsidP="00FE5906">
      <w:pPr>
        <w:pStyle w:val="ListParagraph"/>
        <w:numPr>
          <w:ilvl w:val="0"/>
          <w:numId w:val="46"/>
        </w:numPr>
      </w:pPr>
      <w:r>
        <w:t>It is noticeable that a</w:t>
      </w:r>
      <w:r w:rsidR="001E0671">
        <w:t>ll agencies are aspiring to a high Target Maturity levels.  This is due</w:t>
      </w:r>
      <w:r>
        <w:t xml:space="preserve"> to </w:t>
      </w:r>
      <w:r w:rsidR="001E0671">
        <w:t>a direct relationship with application architecture - including maturity in service orientation</w:t>
      </w:r>
      <w:r w:rsidR="00DA6E6C">
        <w:t xml:space="preserve"> (SOA) and CSPA.</w:t>
      </w:r>
    </w:p>
    <w:p w:rsidR="00FE5906" w:rsidRDefault="00FE5906" w:rsidP="00FE5906">
      <w:pPr>
        <w:pStyle w:val="ListParagraph"/>
        <w:numPr>
          <w:ilvl w:val="0"/>
          <w:numId w:val="46"/>
        </w:numPr>
      </w:pPr>
      <w:r>
        <w:t>There is a significant gap between the current and the target maturity level for all agencies.</w:t>
      </w:r>
    </w:p>
    <w:p w:rsidR="00155FA4" w:rsidRPr="00DA6E6C" w:rsidRDefault="00155FA4" w:rsidP="00FE5906">
      <w:pPr>
        <w:pStyle w:val="ListParagraph"/>
        <w:numPr>
          <w:ilvl w:val="0"/>
          <w:numId w:val="46"/>
        </w:numPr>
      </w:pPr>
      <w:r w:rsidRPr="00DA6E6C">
        <w:t xml:space="preserve">Design Practices was at the lowest level on average in regard to Current Maturity.  Pursuing modernisation enabled though CSPA can be expected to require a significantly greater emphasis on Design Practices than previous, more localised, stand alone, development within agencies.  </w:t>
      </w:r>
    </w:p>
    <w:p w:rsidR="00155FA4" w:rsidRPr="00DA6E6C" w:rsidRDefault="00155FA4" w:rsidP="00FE5906">
      <w:pPr>
        <w:pStyle w:val="ListParagraph"/>
        <w:numPr>
          <w:ilvl w:val="0"/>
          <w:numId w:val="46"/>
        </w:numPr>
      </w:pPr>
      <w:r w:rsidRPr="00DA6E6C">
        <w:t xml:space="preserve">Infrastructure and Management is the strongest reported dimension with a mean Current Maturity level of 3.0.  Infrastructure and Management is one of the highest rated dimensions in all but one agency. </w:t>
      </w:r>
    </w:p>
    <w:p w:rsidR="0067782C" w:rsidRPr="00155FA4" w:rsidRDefault="00155FA4" w:rsidP="00155FA4">
      <w:pPr>
        <w:spacing w:after="0"/>
      </w:pPr>
      <w:r w:rsidRPr="00155FA4">
        <w:rPr>
          <w:rFonts w:ascii="Calibri" w:eastAsia="Times New Roman" w:hAnsi="Calibri" w:cs="Times New Roman"/>
          <w:b/>
          <w:bCs/>
          <w:color w:val="000000"/>
          <w:lang w:eastAsia="en-AU"/>
        </w:rPr>
        <w:t xml:space="preserve">Table 1: </w:t>
      </w:r>
      <w:r>
        <w:rPr>
          <w:rFonts w:ascii="Calibri" w:eastAsia="Times New Roman" w:hAnsi="Calibri" w:cs="Times New Roman"/>
          <w:b/>
          <w:bCs/>
          <w:color w:val="000000"/>
          <w:lang w:eastAsia="en-AU"/>
        </w:rPr>
        <w:t xml:space="preserve">Reported </w:t>
      </w:r>
      <w:r w:rsidR="00252A9C" w:rsidRPr="00155FA4">
        <w:rPr>
          <w:rFonts w:ascii="Calibri" w:eastAsia="Times New Roman" w:hAnsi="Calibri" w:cs="Times New Roman"/>
          <w:b/>
          <w:bCs/>
          <w:color w:val="000000"/>
          <w:lang w:eastAsia="en-AU"/>
        </w:rPr>
        <w:t>Current Maturity</w:t>
      </w:r>
    </w:p>
    <w:tbl>
      <w:tblPr>
        <w:tblStyle w:val="LightShading-Accent1"/>
        <w:tblW w:w="9371" w:type="dxa"/>
        <w:tblLook w:val="04A0" w:firstRow="1" w:lastRow="0" w:firstColumn="1" w:lastColumn="0" w:noHBand="0" w:noVBand="1"/>
      </w:tblPr>
      <w:tblGrid>
        <w:gridCol w:w="3134"/>
        <w:gridCol w:w="992"/>
        <w:gridCol w:w="1342"/>
        <w:gridCol w:w="940"/>
        <w:gridCol w:w="978"/>
        <w:gridCol w:w="1035"/>
        <w:gridCol w:w="950"/>
      </w:tblGrid>
      <w:tr w:rsidR="00252A9C" w:rsidRPr="0067782C" w:rsidTr="00FB7426">
        <w:trPr>
          <w:cnfStyle w:val="100000000000" w:firstRow="1" w:lastRow="0" w:firstColumn="0" w:lastColumn="0" w:oddVBand="0" w:evenVBand="0" w:oddHBand="0"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b w:val="0"/>
                <w:bCs w:val="0"/>
                <w:color w:val="000000"/>
                <w:sz w:val="18"/>
                <w:szCs w:val="18"/>
                <w:lang w:eastAsia="en-AU"/>
              </w:rPr>
            </w:pPr>
            <w:r w:rsidRPr="00155FA4">
              <w:rPr>
                <w:rFonts w:ascii="Calibri" w:eastAsia="Times New Roman" w:hAnsi="Calibri" w:cs="Times New Roman"/>
                <w:b w:val="0"/>
                <w:bCs w:val="0"/>
                <w:color w:val="000000"/>
                <w:sz w:val="18"/>
                <w:szCs w:val="18"/>
                <w:lang w:eastAsia="en-AU"/>
              </w:rPr>
              <w:t>Dimension</w:t>
            </w:r>
          </w:p>
        </w:tc>
        <w:tc>
          <w:tcPr>
            <w:tcW w:w="992" w:type="dxa"/>
            <w:noWrap/>
            <w:hideMark/>
          </w:tcPr>
          <w:p w:rsidR="00252A9C" w:rsidRPr="00155FA4" w:rsidRDefault="00252A9C" w:rsidP="004933D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sz w:val="18"/>
                <w:szCs w:val="18"/>
                <w:lang w:eastAsia="en-AU"/>
              </w:rPr>
            </w:pPr>
            <w:r w:rsidRPr="00155FA4">
              <w:rPr>
                <w:rFonts w:ascii="Calibri" w:eastAsia="Times New Roman" w:hAnsi="Calibri" w:cs="Times New Roman"/>
                <w:b w:val="0"/>
                <w:bCs w:val="0"/>
                <w:color w:val="000000"/>
                <w:sz w:val="18"/>
                <w:szCs w:val="18"/>
                <w:lang w:eastAsia="en-AU"/>
              </w:rPr>
              <w:t>Ireland</w:t>
            </w:r>
          </w:p>
        </w:tc>
        <w:tc>
          <w:tcPr>
            <w:tcW w:w="1342" w:type="dxa"/>
            <w:noWrap/>
            <w:hideMark/>
          </w:tcPr>
          <w:p w:rsidR="00252A9C" w:rsidRPr="00155FA4" w:rsidRDefault="00252A9C" w:rsidP="004933D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sz w:val="18"/>
                <w:szCs w:val="18"/>
                <w:lang w:eastAsia="en-AU"/>
              </w:rPr>
            </w:pPr>
            <w:r w:rsidRPr="00155FA4">
              <w:rPr>
                <w:rFonts w:ascii="Calibri" w:eastAsia="Times New Roman" w:hAnsi="Calibri" w:cs="Times New Roman"/>
                <w:b w:val="0"/>
                <w:bCs w:val="0"/>
                <w:color w:val="000000"/>
                <w:sz w:val="18"/>
                <w:szCs w:val="18"/>
                <w:lang w:eastAsia="en-AU"/>
              </w:rPr>
              <w:t>Netherlands</w:t>
            </w:r>
          </w:p>
        </w:tc>
        <w:tc>
          <w:tcPr>
            <w:tcW w:w="940" w:type="dxa"/>
            <w:hideMark/>
          </w:tcPr>
          <w:p w:rsidR="00252A9C" w:rsidRPr="00155FA4" w:rsidRDefault="00252A9C" w:rsidP="004933D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sz w:val="18"/>
                <w:szCs w:val="18"/>
                <w:lang w:eastAsia="en-AU"/>
              </w:rPr>
            </w:pPr>
            <w:r w:rsidRPr="00155FA4">
              <w:rPr>
                <w:rFonts w:ascii="Calibri" w:eastAsia="Times New Roman" w:hAnsi="Calibri" w:cs="Times New Roman"/>
                <w:b w:val="0"/>
                <w:bCs w:val="0"/>
                <w:color w:val="000000"/>
                <w:sz w:val="18"/>
                <w:szCs w:val="18"/>
                <w:lang w:eastAsia="en-AU"/>
              </w:rPr>
              <w:t>New</w:t>
            </w:r>
            <w:r w:rsidRPr="00155FA4">
              <w:rPr>
                <w:rFonts w:ascii="Calibri" w:eastAsia="Times New Roman" w:hAnsi="Calibri" w:cs="Times New Roman"/>
                <w:b w:val="0"/>
                <w:bCs w:val="0"/>
                <w:color w:val="000000"/>
                <w:sz w:val="18"/>
                <w:szCs w:val="18"/>
                <w:lang w:eastAsia="en-AU"/>
              </w:rPr>
              <w:br/>
              <w:t>Zealand</w:t>
            </w:r>
          </w:p>
        </w:tc>
        <w:tc>
          <w:tcPr>
            <w:tcW w:w="978" w:type="dxa"/>
            <w:noWrap/>
            <w:hideMark/>
          </w:tcPr>
          <w:p w:rsidR="00252A9C" w:rsidRPr="00155FA4" w:rsidRDefault="00252A9C" w:rsidP="004933D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sz w:val="18"/>
                <w:szCs w:val="18"/>
                <w:lang w:eastAsia="en-AU"/>
              </w:rPr>
            </w:pPr>
            <w:r w:rsidRPr="00155FA4">
              <w:rPr>
                <w:rFonts w:ascii="Calibri" w:eastAsia="Times New Roman" w:hAnsi="Calibri" w:cs="Times New Roman"/>
                <w:b w:val="0"/>
                <w:bCs w:val="0"/>
                <w:color w:val="000000"/>
                <w:sz w:val="18"/>
                <w:szCs w:val="18"/>
                <w:lang w:eastAsia="en-AU"/>
              </w:rPr>
              <w:t>Norway</w:t>
            </w:r>
          </w:p>
        </w:tc>
        <w:tc>
          <w:tcPr>
            <w:tcW w:w="1035" w:type="dxa"/>
            <w:noWrap/>
            <w:hideMark/>
          </w:tcPr>
          <w:p w:rsidR="00252A9C" w:rsidRPr="00155FA4" w:rsidRDefault="00252A9C" w:rsidP="004933D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sz w:val="18"/>
                <w:szCs w:val="18"/>
                <w:lang w:eastAsia="en-AU"/>
              </w:rPr>
            </w:pPr>
            <w:r w:rsidRPr="00155FA4">
              <w:rPr>
                <w:rFonts w:ascii="Calibri" w:eastAsia="Times New Roman" w:hAnsi="Calibri" w:cs="Times New Roman"/>
                <w:b w:val="0"/>
                <w:bCs w:val="0"/>
                <w:color w:val="000000"/>
                <w:sz w:val="18"/>
                <w:szCs w:val="18"/>
                <w:lang w:eastAsia="en-AU"/>
              </w:rPr>
              <w:t>Australia</w:t>
            </w:r>
          </w:p>
        </w:tc>
        <w:tc>
          <w:tcPr>
            <w:tcW w:w="950" w:type="dxa"/>
            <w:hideMark/>
          </w:tcPr>
          <w:p w:rsidR="00252A9C" w:rsidRPr="00155FA4" w:rsidRDefault="00252A9C" w:rsidP="004933D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sz w:val="18"/>
                <w:szCs w:val="18"/>
                <w:lang w:eastAsia="en-AU"/>
              </w:rPr>
            </w:pPr>
            <w:r w:rsidRPr="00155FA4">
              <w:rPr>
                <w:rFonts w:ascii="Calibri" w:eastAsia="Times New Roman" w:hAnsi="Calibri" w:cs="Times New Roman"/>
                <w:b w:val="0"/>
                <w:bCs w:val="0"/>
                <w:color w:val="000000"/>
                <w:sz w:val="18"/>
                <w:szCs w:val="18"/>
                <w:lang w:eastAsia="en-AU"/>
              </w:rPr>
              <w:t>Mean</w:t>
            </w:r>
          </w:p>
        </w:tc>
      </w:tr>
      <w:tr w:rsidR="00252A9C" w:rsidRPr="0067782C" w:rsidTr="00FB742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Business Activity View</w:t>
            </w:r>
          </w:p>
        </w:tc>
        <w:tc>
          <w:tcPr>
            <w:tcW w:w="992"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1.5</w:t>
            </w:r>
          </w:p>
        </w:tc>
        <w:tc>
          <w:tcPr>
            <w:tcW w:w="1342"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w:t>
            </w:r>
          </w:p>
        </w:tc>
        <w:tc>
          <w:tcPr>
            <w:tcW w:w="94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2.5</w:t>
            </w:r>
          </w:p>
        </w:tc>
        <w:tc>
          <w:tcPr>
            <w:tcW w:w="978"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3.5</w:t>
            </w:r>
          </w:p>
        </w:tc>
        <w:tc>
          <w:tcPr>
            <w:tcW w:w="1035"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w:t>
            </w:r>
          </w:p>
        </w:tc>
        <w:tc>
          <w:tcPr>
            <w:tcW w:w="95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2.1</w:t>
            </w:r>
          </w:p>
        </w:tc>
      </w:tr>
      <w:tr w:rsidR="00252A9C" w:rsidRPr="0067782C" w:rsidTr="00FB7426">
        <w:trPr>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Business Capability View</w:t>
            </w:r>
          </w:p>
        </w:tc>
        <w:tc>
          <w:tcPr>
            <w:tcW w:w="992"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w:t>
            </w:r>
          </w:p>
        </w:tc>
        <w:tc>
          <w:tcPr>
            <w:tcW w:w="1342"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3.5</w:t>
            </w:r>
          </w:p>
        </w:tc>
        <w:tc>
          <w:tcPr>
            <w:tcW w:w="940"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2.1</w:t>
            </w:r>
          </w:p>
        </w:tc>
        <w:tc>
          <w:tcPr>
            <w:tcW w:w="978"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w:t>
            </w:r>
          </w:p>
        </w:tc>
        <w:tc>
          <w:tcPr>
            <w:tcW w:w="1035"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2.5</w:t>
            </w:r>
          </w:p>
        </w:tc>
        <w:tc>
          <w:tcPr>
            <w:tcW w:w="950"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2.0</w:t>
            </w:r>
          </w:p>
        </w:tc>
      </w:tr>
      <w:tr w:rsidR="00252A9C" w:rsidRPr="0067782C" w:rsidTr="00FB742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Statistical Methodology</w:t>
            </w:r>
          </w:p>
        </w:tc>
        <w:tc>
          <w:tcPr>
            <w:tcW w:w="992"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w:t>
            </w:r>
          </w:p>
        </w:tc>
        <w:tc>
          <w:tcPr>
            <w:tcW w:w="1342"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3</w:t>
            </w:r>
          </w:p>
        </w:tc>
        <w:tc>
          <w:tcPr>
            <w:tcW w:w="94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3.5</w:t>
            </w:r>
          </w:p>
        </w:tc>
        <w:tc>
          <w:tcPr>
            <w:tcW w:w="978"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w:t>
            </w:r>
          </w:p>
        </w:tc>
        <w:tc>
          <w:tcPr>
            <w:tcW w:w="1035"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4</w:t>
            </w:r>
          </w:p>
        </w:tc>
        <w:tc>
          <w:tcPr>
            <w:tcW w:w="95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2.5</w:t>
            </w:r>
          </w:p>
        </w:tc>
      </w:tr>
      <w:tr w:rsidR="00252A9C" w:rsidRPr="0067782C" w:rsidTr="00FB7426">
        <w:trPr>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Information</w:t>
            </w:r>
          </w:p>
        </w:tc>
        <w:tc>
          <w:tcPr>
            <w:tcW w:w="992"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1.5</w:t>
            </w:r>
          </w:p>
        </w:tc>
        <w:tc>
          <w:tcPr>
            <w:tcW w:w="1342"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3.5</w:t>
            </w:r>
          </w:p>
        </w:tc>
        <w:tc>
          <w:tcPr>
            <w:tcW w:w="940"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2.1</w:t>
            </w:r>
          </w:p>
        </w:tc>
        <w:tc>
          <w:tcPr>
            <w:tcW w:w="978"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w:t>
            </w:r>
          </w:p>
        </w:tc>
        <w:tc>
          <w:tcPr>
            <w:tcW w:w="1035"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2.2</w:t>
            </w:r>
          </w:p>
        </w:tc>
        <w:tc>
          <w:tcPr>
            <w:tcW w:w="950"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2.1</w:t>
            </w:r>
          </w:p>
        </w:tc>
      </w:tr>
      <w:tr w:rsidR="00252A9C" w:rsidRPr="0067782C" w:rsidTr="00FB742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Application</w:t>
            </w:r>
          </w:p>
        </w:tc>
        <w:tc>
          <w:tcPr>
            <w:tcW w:w="992"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w:t>
            </w:r>
          </w:p>
        </w:tc>
        <w:tc>
          <w:tcPr>
            <w:tcW w:w="1342"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4</w:t>
            </w:r>
          </w:p>
        </w:tc>
        <w:tc>
          <w:tcPr>
            <w:tcW w:w="94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1.5</w:t>
            </w:r>
          </w:p>
        </w:tc>
        <w:tc>
          <w:tcPr>
            <w:tcW w:w="978"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w:t>
            </w:r>
          </w:p>
        </w:tc>
        <w:tc>
          <w:tcPr>
            <w:tcW w:w="1035"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2.5</w:t>
            </w:r>
          </w:p>
        </w:tc>
        <w:tc>
          <w:tcPr>
            <w:tcW w:w="95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2.2</w:t>
            </w:r>
          </w:p>
        </w:tc>
      </w:tr>
      <w:tr w:rsidR="00252A9C" w:rsidRPr="0067782C" w:rsidTr="00FB7426">
        <w:trPr>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Infrastructure &amp; Management</w:t>
            </w:r>
          </w:p>
        </w:tc>
        <w:tc>
          <w:tcPr>
            <w:tcW w:w="992"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1.5</w:t>
            </w:r>
          </w:p>
        </w:tc>
        <w:tc>
          <w:tcPr>
            <w:tcW w:w="1342"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6</w:t>
            </w:r>
          </w:p>
        </w:tc>
        <w:tc>
          <w:tcPr>
            <w:tcW w:w="940"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1.5</w:t>
            </w:r>
          </w:p>
        </w:tc>
        <w:tc>
          <w:tcPr>
            <w:tcW w:w="978"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3</w:t>
            </w:r>
          </w:p>
        </w:tc>
        <w:tc>
          <w:tcPr>
            <w:tcW w:w="1035"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3</w:t>
            </w:r>
          </w:p>
        </w:tc>
        <w:tc>
          <w:tcPr>
            <w:tcW w:w="950"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3.0</w:t>
            </w:r>
          </w:p>
        </w:tc>
      </w:tr>
      <w:tr w:rsidR="00252A9C" w:rsidRPr="0067782C" w:rsidTr="00FB742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Governance &amp; Organisation</w:t>
            </w:r>
          </w:p>
        </w:tc>
        <w:tc>
          <w:tcPr>
            <w:tcW w:w="992"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w:t>
            </w:r>
          </w:p>
        </w:tc>
        <w:tc>
          <w:tcPr>
            <w:tcW w:w="1342"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3</w:t>
            </w:r>
          </w:p>
        </w:tc>
        <w:tc>
          <w:tcPr>
            <w:tcW w:w="94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3.1</w:t>
            </w:r>
          </w:p>
        </w:tc>
        <w:tc>
          <w:tcPr>
            <w:tcW w:w="978"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w:t>
            </w:r>
          </w:p>
        </w:tc>
        <w:tc>
          <w:tcPr>
            <w:tcW w:w="1035"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w:t>
            </w:r>
          </w:p>
        </w:tc>
        <w:tc>
          <w:tcPr>
            <w:tcW w:w="95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2.2</w:t>
            </w:r>
          </w:p>
        </w:tc>
      </w:tr>
      <w:tr w:rsidR="00252A9C" w:rsidRPr="0067782C" w:rsidTr="00FB7426">
        <w:trPr>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Design Practices</w:t>
            </w:r>
          </w:p>
        </w:tc>
        <w:tc>
          <w:tcPr>
            <w:tcW w:w="992"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w:t>
            </w:r>
          </w:p>
        </w:tc>
        <w:tc>
          <w:tcPr>
            <w:tcW w:w="1342"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2.5</w:t>
            </w:r>
          </w:p>
        </w:tc>
        <w:tc>
          <w:tcPr>
            <w:tcW w:w="940"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2.5</w:t>
            </w:r>
          </w:p>
        </w:tc>
        <w:tc>
          <w:tcPr>
            <w:tcW w:w="978"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w:t>
            </w:r>
          </w:p>
        </w:tc>
        <w:tc>
          <w:tcPr>
            <w:tcW w:w="1035"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w:t>
            </w:r>
          </w:p>
        </w:tc>
        <w:tc>
          <w:tcPr>
            <w:tcW w:w="950"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1.8</w:t>
            </w:r>
          </w:p>
        </w:tc>
      </w:tr>
      <w:tr w:rsidR="00252A9C" w:rsidRPr="0067782C" w:rsidTr="00FB742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4" w:type="dxa"/>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Mean</w:t>
            </w:r>
          </w:p>
        </w:tc>
        <w:tc>
          <w:tcPr>
            <w:tcW w:w="992"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1.3</w:t>
            </w:r>
          </w:p>
        </w:tc>
        <w:tc>
          <w:tcPr>
            <w:tcW w:w="1342"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3.4</w:t>
            </w:r>
          </w:p>
        </w:tc>
        <w:tc>
          <w:tcPr>
            <w:tcW w:w="94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2.4</w:t>
            </w:r>
          </w:p>
        </w:tc>
        <w:tc>
          <w:tcPr>
            <w:tcW w:w="978"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1.8</w:t>
            </w:r>
          </w:p>
        </w:tc>
        <w:tc>
          <w:tcPr>
            <w:tcW w:w="1035"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2.3</w:t>
            </w:r>
          </w:p>
        </w:tc>
        <w:tc>
          <w:tcPr>
            <w:tcW w:w="95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2.2</w:t>
            </w:r>
          </w:p>
        </w:tc>
      </w:tr>
    </w:tbl>
    <w:p w:rsidR="001E0671" w:rsidRDefault="001E0671" w:rsidP="00155FA4">
      <w:pPr>
        <w:spacing w:after="0"/>
      </w:pPr>
    </w:p>
    <w:p w:rsidR="00252A9C" w:rsidRPr="00155FA4" w:rsidRDefault="00155FA4" w:rsidP="00155FA4">
      <w:pPr>
        <w:spacing w:after="0"/>
        <w:rPr>
          <w:rFonts w:ascii="Calibri" w:eastAsia="Times New Roman" w:hAnsi="Calibri" w:cs="Times New Roman"/>
          <w:b/>
          <w:bCs/>
          <w:color w:val="000000"/>
          <w:lang w:eastAsia="en-AU"/>
        </w:rPr>
      </w:pPr>
      <w:r>
        <w:rPr>
          <w:rFonts w:ascii="Calibri" w:eastAsia="Times New Roman" w:hAnsi="Calibri" w:cs="Times New Roman"/>
          <w:b/>
          <w:bCs/>
          <w:color w:val="000000"/>
          <w:lang w:eastAsia="en-AU"/>
        </w:rPr>
        <w:t xml:space="preserve">Table 2: Reported </w:t>
      </w:r>
      <w:r w:rsidR="00252A9C" w:rsidRPr="00155FA4">
        <w:rPr>
          <w:rFonts w:ascii="Calibri" w:eastAsia="Times New Roman" w:hAnsi="Calibri" w:cs="Times New Roman"/>
          <w:b/>
          <w:bCs/>
          <w:color w:val="000000"/>
          <w:lang w:eastAsia="en-AU"/>
        </w:rPr>
        <w:t>Target Maturity</w:t>
      </w:r>
    </w:p>
    <w:tbl>
      <w:tblPr>
        <w:tblStyle w:val="LightShading-Accent1"/>
        <w:tblW w:w="9371" w:type="dxa"/>
        <w:tblLook w:val="04A0" w:firstRow="1" w:lastRow="0" w:firstColumn="1" w:lastColumn="0" w:noHBand="0" w:noVBand="1"/>
      </w:tblPr>
      <w:tblGrid>
        <w:gridCol w:w="3134"/>
        <w:gridCol w:w="992"/>
        <w:gridCol w:w="1342"/>
        <w:gridCol w:w="940"/>
        <w:gridCol w:w="978"/>
        <w:gridCol w:w="1035"/>
        <w:gridCol w:w="950"/>
      </w:tblGrid>
      <w:tr w:rsidR="00252A9C" w:rsidRPr="0067782C" w:rsidTr="00FB7426">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b w:val="0"/>
                <w:bCs w:val="0"/>
                <w:color w:val="000000"/>
                <w:sz w:val="18"/>
                <w:szCs w:val="18"/>
                <w:lang w:eastAsia="en-AU"/>
              </w:rPr>
            </w:pPr>
            <w:r w:rsidRPr="00155FA4">
              <w:rPr>
                <w:rFonts w:ascii="Calibri" w:eastAsia="Times New Roman" w:hAnsi="Calibri" w:cs="Times New Roman"/>
                <w:b w:val="0"/>
                <w:bCs w:val="0"/>
                <w:color w:val="000000"/>
                <w:sz w:val="18"/>
                <w:szCs w:val="18"/>
                <w:lang w:eastAsia="en-AU"/>
              </w:rPr>
              <w:t>Dimension</w:t>
            </w:r>
          </w:p>
        </w:tc>
        <w:tc>
          <w:tcPr>
            <w:tcW w:w="992" w:type="dxa"/>
            <w:noWrap/>
            <w:hideMark/>
          </w:tcPr>
          <w:p w:rsidR="00252A9C" w:rsidRPr="00155FA4" w:rsidRDefault="00252A9C" w:rsidP="004933D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sz w:val="18"/>
                <w:szCs w:val="18"/>
                <w:lang w:eastAsia="en-AU"/>
              </w:rPr>
            </w:pPr>
            <w:r w:rsidRPr="00155FA4">
              <w:rPr>
                <w:rFonts w:ascii="Calibri" w:eastAsia="Times New Roman" w:hAnsi="Calibri" w:cs="Times New Roman"/>
                <w:b w:val="0"/>
                <w:bCs w:val="0"/>
                <w:color w:val="000000"/>
                <w:sz w:val="18"/>
                <w:szCs w:val="18"/>
                <w:lang w:eastAsia="en-AU"/>
              </w:rPr>
              <w:t>Ireland</w:t>
            </w:r>
          </w:p>
        </w:tc>
        <w:tc>
          <w:tcPr>
            <w:tcW w:w="1342" w:type="dxa"/>
            <w:noWrap/>
            <w:hideMark/>
          </w:tcPr>
          <w:p w:rsidR="00252A9C" w:rsidRPr="00155FA4" w:rsidRDefault="00252A9C" w:rsidP="004933D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sz w:val="18"/>
                <w:szCs w:val="18"/>
                <w:lang w:eastAsia="en-AU"/>
              </w:rPr>
            </w:pPr>
            <w:r w:rsidRPr="00155FA4">
              <w:rPr>
                <w:rFonts w:ascii="Calibri" w:eastAsia="Times New Roman" w:hAnsi="Calibri" w:cs="Times New Roman"/>
                <w:b w:val="0"/>
                <w:bCs w:val="0"/>
                <w:color w:val="000000"/>
                <w:sz w:val="18"/>
                <w:szCs w:val="18"/>
                <w:lang w:eastAsia="en-AU"/>
              </w:rPr>
              <w:t>Netherlands</w:t>
            </w:r>
          </w:p>
        </w:tc>
        <w:tc>
          <w:tcPr>
            <w:tcW w:w="940" w:type="dxa"/>
            <w:hideMark/>
          </w:tcPr>
          <w:p w:rsidR="00252A9C" w:rsidRPr="00155FA4" w:rsidRDefault="00252A9C" w:rsidP="004933D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sz w:val="18"/>
                <w:szCs w:val="18"/>
                <w:lang w:eastAsia="en-AU"/>
              </w:rPr>
            </w:pPr>
            <w:r w:rsidRPr="00155FA4">
              <w:rPr>
                <w:rFonts w:ascii="Calibri" w:eastAsia="Times New Roman" w:hAnsi="Calibri" w:cs="Times New Roman"/>
                <w:b w:val="0"/>
                <w:bCs w:val="0"/>
                <w:color w:val="000000"/>
                <w:sz w:val="18"/>
                <w:szCs w:val="18"/>
                <w:lang w:eastAsia="en-AU"/>
              </w:rPr>
              <w:t>New</w:t>
            </w:r>
            <w:r w:rsidRPr="00155FA4">
              <w:rPr>
                <w:rFonts w:ascii="Calibri" w:eastAsia="Times New Roman" w:hAnsi="Calibri" w:cs="Times New Roman"/>
                <w:b w:val="0"/>
                <w:bCs w:val="0"/>
                <w:color w:val="000000"/>
                <w:sz w:val="18"/>
                <w:szCs w:val="18"/>
                <w:lang w:eastAsia="en-AU"/>
              </w:rPr>
              <w:br/>
              <w:t>Zealand</w:t>
            </w:r>
          </w:p>
        </w:tc>
        <w:tc>
          <w:tcPr>
            <w:tcW w:w="978" w:type="dxa"/>
            <w:noWrap/>
            <w:hideMark/>
          </w:tcPr>
          <w:p w:rsidR="00252A9C" w:rsidRPr="00155FA4" w:rsidRDefault="00252A9C" w:rsidP="004933D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sz w:val="18"/>
                <w:szCs w:val="18"/>
                <w:lang w:eastAsia="en-AU"/>
              </w:rPr>
            </w:pPr>
            <w:r w:rsidRPr="00155FA4">
              <w:rPr>
                <w:rFonts w:ascii="Calibri" w:eastAsia="Times New Roman" w:hAnsi="Calibri" w:cs="Times New Roman"/>
                <w:b w:val="0"/>
                <w:bCs w:val="0"/>
                <w:color w:val="000000"/>
                <w:sz w:val="18"/>
                <w:szCs w:val="18"/>
                <w:lang w:eastAsia="en-AU"/>
              </w:rPr>
              <w:t>Norway</w:t>
            </w:r>
          </w:p>
        </w:tc>
        <w:tc>
          <w:tcPr>
            <w:tcW w:w="1035" w:type="dxa"/>
            <w:noWrap/>
            <w:hideMark/>
          </w:tcPr>
          <w:p w:rsidR="00252A9C" w:rsidRPr="00155FA4" w:rsidRDefault="00252A9C" w:rsidP="004933D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sz w:val="18"/>
                <w:szCs w:val="18"/>
                <w:lang w:eastAsia="en-AU"/>
              </w:rPr>
            </w:pPr>
            <w:r w:rsidRPr="00155FA4">
              <w:rPr>
                <w:rFonts w:ascii="Calibri" w:eastAsia="Times New Roman" w:hAnsi="Calibri" w:cs="Times New Roman"/>
                <w:b w:val="0"/>
                <w:bCs w:val="0"/>
                <w:color w:val="000000"/>
                <w:sz w:val="18"/>
                <w:szCs w:val="18"/>
                <w:lang w:eastAsia="en-AU"/>
              </w:rPr>
              <w:t>Australia</w:t>
            </w:r>
          </w:p>
        </w:tc>
        <w:tc>
          <w:tcPr>
            <w:tcW w:w="950" w:type="dxa"/>
            <w:noWrap/>
            <w:hideMark/>
          </w:tcPr>
          <w:p w:rsidR="00252A9C" w:rsidRPr="00155FA4" w:rsidRDefault="00252A9C" w:rsidP="004933D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color w:val="000000"/>
                <w:sz w:val="18"/>
                <w:szCs w:val="18"/>
                <w:lang w:eastAsia="en-AU"/>
              </w:rPr>
            </w:pPr>
            <w:r w:rsidRPr="00155FA4">
              <w:rPr>
                <w:rFonts w:ascii="Calibri" w:eastAsia="Times New Roman" w:hAnsi="Calibri" w:cs="Times New Roman"/>
                <w:b w:val="0"/>
                <w:bCs w:val="0"/>
                <w:color w:val="000000"/>
                <w:sz w:val="18"/>
                <w:szCs w:val="18"/>
                <w:lang w:eastAsia="en-AU"/>
              </w:rPr>
              <w:t>Mean</w:t>
            </w:r>
          </w:p>
        </w:tc>
      </w:tr>
      <w:tr w:rsidR="00252A9C" w:rsidRPr="0067782C" w:rsidTr="00FB742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Business Activity View</w:t>
            </w:r>
          </w:p>
        </w:tc>
        <w:tc>
          <w:tcPr>
            <w:tcW w:w="992" w:type="dxa"/>
            <w:noWrap/>
            <w:hideMark/>
          </w:tcPr>
          <w:p w:rsidR="00252A9C" w:rsidRPr="00155FA4" w:rsidRDefault="00252A9C" w:rsidP="004933D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 </w:t>
            </w:r>
          </w:p>
        </w:tc>
        <w:tc>
          <w:tcPr>
            <w:tcW w:w="1342"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3</w:t>
            </w:r>
          </w:p>
        </w:tc>
        <w:tc>
          <w:tcPr>
            <w:tcW w:w="94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5.5</w:t>
            </w:r>
          </w:p>
        </w:tc>
        <w:tc>
          <w:tcPr>
            <w:tcW w:w="978"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1035"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95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4.6</w:t>
            </w:r>
          </w:p>
        </w:tc>
      </w:tr>
      <w:tr w:rsidR="00252A9C" w:rsidRPr="0067782C" w:rsidTr="00FB7426">
        <w:trPr>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Business Capability View</w:t>
            </w:r>
          </w:p>
        </w:tc>
        <w:tc>
          <w:tcPr>
            <w:tcW w:w="992" w:type="dxa"/>
            <w:noWrap/>
            <w:hideMark/>
          </w:tcPr>
          <w:p w:rsidR="00252A9C" w:rsidRPr="00155FA4" w:rsidRDefault="00252A9C" w:rsidP="004933D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 </w:t>
            </w:r>
          </w:p>
        </w:tc>
        <w:tc>
          <w:tcPr>
            <w:tcW w:w="1342"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4</w:t>
            </w:r>
          </w:p>
        </w:tc>
        <w:tc>
          <w:tcPr>
            <w:tcW w:w="940"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5.5</w:t>
            </w:r>
          </w:p>
        </w:tc>
        <w:tc>
          <w:tcPr>
            <w:tcW w:w="978"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1035"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950"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4.9</w:t>
            </w:r>
          </w:p>
        </w:tc>
      </w:tr>
      <w:tr w:rsidR="00252A9C" w:rsidRPr="0067782C" w:rsidTr="00FB742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Statistical Methodology</w:t>
            </w:r>
          </w:p>
        </w:tc>
        <w:tc>
          <w:tcPr>
            <w:tcW w:w="992" w:type="dxa"/>
            <w:noWrap/>
            <w:hideMark/>
          </w:tcPr>
          <w:p w:rsidR="00252A9C" w:rsidRPr="00155FA4" w:rsidRDefault="00252A9C" w:rsidP="004933D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 </w:t>
            </w:r>
          </w:p>
        </w:tc>
        <w:tc>
          <w:tcPr>
            <w:tcW w:w="1342"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4</w:t>
            </w:r>
          </w:p>
        </w:tc>
        <w:tc>
          <w:tcPr>
            <w:tcW w:w="94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978"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1035"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95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4.8</w:t>
            </w:r>
          </w:p>
        </w:tc>
      </w:tr>
      <w:tr w:rsidR="00252A9C" w:rsidRPr="0067782C" w:rsidTr="00FB7426">
        <w:trPr>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Information</w:t>
            </w:r>
          </w:p>
        </w:tc>
        <w:tc>
          <w:tcPr>
            <w:tcW w:w="992" w:type="dxa"/>
            <w:noWrap/>
            <w:hideMark/>
          </w:tcPr>
          <w:p w:rsidR="00252A9C" w:rsidRPr="00155FA4" w:rsidRDefault="00252A9C" w:rsidP="004933D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 </w:t>
            </w:r>
          </w:p>
        </w:tc>
        <w:tc>
          <w:tcPr>
            <w:tcW w:w="1342"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4</w:t>
            </w:r>
          </w:p>
        </w:tc>
        <w:tc>
          <w:tcPr>
            <w:tcW w:w="940"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978"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1035"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950"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4.8</w:t>
            </w:r>
          </w:p>
        </w:tc>
      </w:tr>
      <w:tr w:rsidR="00252A9C" w:rsidRPr="0067782C" w:rsidTr="00FB742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Application</w:t>
            </w:r>
          </w:p>
        </w:tc>
        <w:tc>
          <w:tcPr>
            <w:tcW w:w="992" w:type="dxa"/>
            <w:noWrap/>
            <w:hideMark/>
          </w:tcPr>
          <w:p w:rsidR="00252A9C" w:rsidRPr="00155FA4" w:rsidRDefault="00252A9C" w:rsidP="004933D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 </w:t>
            </w:r>
          </w:p>
        </w:tc>
        <w:tc>
          <w:tcPr>
            <w:tcW w:w="1342"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94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5.1</w:t>
            </w:r>
          </w:p>
        </w:tc>
        <w:tc>
          <w:tcPr>
            <w:tcW w:w="978"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1035"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95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5.0</w:t>
            </w:r>
          </w:p>
        </w:tc>
      </w:tr>
      <w:tr w:rsidR="00252A9C" w:rsidRPr="0067782C" w:rsidTr="00FB7426">
        <w:trPr>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Infrastructure &amp; Management</w:t>
            </w:r>
          </w:p>
        </w:tc>
        <w:tc>
          <w:tcPr>
            <w:tcW w:w="992" w:type="dxa"/>
            <w:noWrap/>
            <w:hideMark/>
          </w:tcPr>
          <w:p w:rsidR="00252A9C" w:rsidRPr="00155FA4" w:rsidRDefault="00252A9C" w:rsidP="004933D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 </w:t>
            </w:r>
          </w:p>
        </w:tc>
        <w:tc>
          <w:tcPr>
            <w:tcW w:w="1342"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7</w:t>
            </w:r>
          </w:p>
        </w:tc>
        <w:tc>
          <w:tcPr>
            <w:tcW w:w="940"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4.5</w:t>
            </w:r>
          </w:p>
        </w:tc>
        <w:tc>
          <w:tcPr>
            <w:tcW w:w="978"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1035"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950"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5.4</w:t>
            </w:r>
          </w:p>
        </w:tc>
      </w:tr>
      <w:tr w:rsidR="00252A9C" w:rsidRPr="0067782C" w:rsidTr="00FB742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Governance &amp; Organisation</w:t>
            </w:r>
          </w:p>
        </w:tc>
        <w:tc>
          <w:tcPr>
            <w:tcW w:w="992" w:type="dxa"/>
            <w:noWrap/>
            <w:hideMark/>
          </w:tcPr>
          <w:p w:rsidR="00252A9C" w:rsidRPr="00155FA4" w:rsidRDefault="00252A9C" w:rsidP="004933D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 </w:t>
            </w:r>
          </w:p>
        </w:tc>
        <w:tc>
          <w:tcPr>
            <w:tcW w:w="1342"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4</w:t>
            </w:r>
          </w:p>
        </w:tc>
        <w:tc>
          <w:tcPr>
            <w:tcW w:w="94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6</w:t>
            </w:r>
          </w:p>
        </w:tc>
        <w:tc>
          <w:tcPr>
            <w:tcW w:w="978"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1035"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95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5.0</w:t>
            </w:r>
          </w:p>
        </w:tc>
      </w:tr>
      <w:tr w:rsidR="00252A9C" w:rsidRPr="0067782C" w:rsidTr="00FB7426">
        <w:trPr>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Design Practices</w:t>
            </w:r>
          </w:p>
        </w:tc>
        <w:tc>
          <w:tcPr>
            <w:tcW w:w="992" w:type="dxa"/>
            <w:noWrap/>
            <w:hideMark/>
          </w:tcPr>
          <w:p w:rsidR="00252A9C" w:rsidRPr="00155FA4" w:rsidRDefault="00252A9C" w:rsidP="004933D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 </w:t>
            </w:r>
          </w:p>
        </w:tc>
        <w:tc>
          <w:tcPr>
            <w:tcW w:w="1342"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4</w:t>
            </w:r>
          </w:p>
        </w:tc>
        <w:tc>
          <w:tcPr>
            <w:tcW w:w="940"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6</w:t>
            </w:r>
          </w:p>
        </w:tc>
        <w:tc>
          <w:tcPr>
            <w:tcW w:w="978"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1035"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w:t>
            </w:r>
          </w:p>
        </w:tc>
        <w:tc>
          <w:tcPr>
            <w:tcW w:w="950" w:type="dxa"/>
            <w:noWrap/>
            <w:hideMark/>
          </w:tcPr>
          <w:p w:rsidR="00252A9C" w:rsidRPr="00155FA4" w:rsidRDefault="00252A9C" w:rsidP="004933D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5.0</w:t>
            </w:r>
          </w:p>
        </w:tc>
      </w:tr>
      <w:tr w:rsidR="00252A9C" w:rsidRPr="0067782C" w:rsidTr="00FB742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4" w:type="dxa"/>
            <w:noWrap/>
            <w:hideMark/>
          </w:tcPr>
          <w:p w:rsidR="00252A9C" w:rsidRPr="00155FA4" w:rsidRDefault="00252A9C" w:rsidP="004933DD">
            <w:pPr>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Mean</w:t>
            </w:r>
          </w:p>
        </w:tc>
        <w:tc>
          <w:tcPr>
            <w:tcW w:w="992" w:type="dxa"/>
            <w:noWrap/>
            <w:hideMark/>
          </w:tcPr>
          <w:p w:rsidR="00252A9C" w:rsidRPr="00155FA4" w:rsidRDefault="00252A9C" w:rsidP="004933D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 </w:t>
            </w:r>
          </w:p>
        </w:tc>
        <w:tc>
          <w:tcPr>
            <w:tcW w:w="1342"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4.4</w:t>
            </w:r>
          </w:p>
        </w:tc>
        <w:tc>
          <w:tcPr>
            <w:tcW w:w="94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5.3</w:t>
            </w:r>
          </w:p>
        </w:tc>
        <w:tc>
          <w:tcPr>
            <w:tcW w:w="978"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5.0</w:t>
            </w:r>
          </w:p>
        </w:tc>
        <w:tc>
          <w:tcPr>
            <w:tcW w:w="1035"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5.0</w:t>
            </w:r>
          </w:p>
        </w:tc>
        <w:tc>
          <w:tcPr>
            <w:tcW w:w="950" w:type="dxa"/>
            <w:noWrap/>
            <w:hideMark/>
          </w:tcPr>
          <w:p w:rsidR="00252A9C" w:rsidRPr="00155FA4" w:rsidRDefault="00252A9C" w:rsidP="004933D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n-AU"/>
              </w:rPr>
            </w:pPr>
            <w:r w:rsidRPr="00155FA4">
              <w:rPr>
                <w:rFonts w:ascii="Calibri" w:eastAsia="Times New Roman" w:hAnsi="Calibri" w:cs="Times New Roman"/>
                <w:color w:val="000000"/>
                <w:sz w:val="18"/>
                <w:szCs w:val="18"/>
                <w:lang w:eastAsia="en-AU"/>
              </w:rPr>
              <w:t>4.9</w:t>
            </w:r>
          </w:p>
        </w:tc>
      </w:tr>
    </w:tbl>
    <w:p w:rsidR="00B20874" w:rsidRDefault="00B20874" w:rsidP="00940D80"/>
    <w:p w:rsidR="006E3DC4" w:rsidRDefault="00DA6E6C" w:rsidP="00940D80">
      <w:r>
        <w:t xml:space="preserve">A detailed report analysing these results was presented to the MC P&amp;M in its August meeting. </w:t>
      </w:r>
      <w:r w:rsidRPr="00DA6E6C">
        <w:rPr>
          <w:color w:val="FF0000"/>
        </w:rPr>
        <w:t>(</w:t>
      </w:r>
      <w:proofErr w:type="gramStart"/>
      <w:r w:rsidRPr="00DA6E6C">
        <w:rPr>
          <w:color w:val="FF0000"/>
        </w:rPr>
        <w:t>link</w:t>
      </w:r>
      <w:proofErr w:type="gramEnd"/>
      <w:r w:rsidRPr="00DA6E6C">
        <w:rPr>
          <w:color w:val="FF0000"/>
        </w:rPr>
        <w:t>)</w:t>
      </w:r>
      <w:r w:rsidR="006E3DC4">
        <w:rPr>
          <w:color w:val="FF0000"/>
        </w:rPr>
        <w:t xml:space="preserve"> </w:t>
      </w:r>
      <w:r w:rsidR="006E3DC4">
        <w:t xml:space="preserve">The key messages </w:t>
      </w:r>
      <w:r w:rsidR="00563B9A">
        <w:t xml:space="preserve">identified </w:t>
      </w:r>
      <w:r w:rsidR="006E3DC4">
        <w:t>by the committee were:</w:t>
      </w:r>
    </w:p>
    <w:p w:rsidR="006E3DC4" w:rsidRPr="00FB7426" w:rsidRDefault="00563B9A" w:rsidP="006E3DC4">
      <w:pPr>
        <w:pStyle w:val="ListParagraph"/>
        <w:numPr>
          <w:ilvl w:val="0"/>
          <w:numId w:val="47"/>
        </w:numPr>
      </w:pPr>
      <w:r>
        <w:t>C</w:t>
      </w:r>
      <w:r w:rsidR="006E3DC4" w:rsidRPr="00FB7426">
        <w:t xml:space="preserve">onsiderable work is required to mature </w:t>
      </w:r>
      <w:r w:rsidRPr="00FB7426">
        <w:t>to maximise the potential offered by CSPA</w:t>
      </w:r>
      <w:r>
        <w:t>,</w:t>
      </w:r>
      <w:r w:rsidRPr="00FB7426">
        <w:t xml:space="preserve"> </w:t>
      </w:r>
      <w:r w:rsidR="006E3DC4" w:rsidRPr="00FB7426">
        <w:t>even for the agencies which are the most progressed.</w:t>
      </w:r>
    </w:p>
    <w:p w:rsidR="006E3DC4" w:rsidRPr="00FB7426" w:rsidRDefault="006E3DC4" w:rsidP="006E3DC4">
      <w:pPr>
        <w:pStyle w:val="ListParagraph"/>
        <w:numPr>
          <w:ilvl w:val="0"/>
          <w:numId w:val="47"/>
        </w:numPr>
      </w:pPr>
      <w:r w:rsidRPr="00FB7426">
        <w:t xml:space="preserve">Participants in the study found the exercise useful </w:t>
      </w:r>
      <w:r w:rsidR="00BB571B">
        <w:t>to identify</w:t>
      </w:r>
      <w:r w:rsidRPr="00FB7426">
        <w:t xml:space="preserve"> areas for </w:t>
      </w:r>
      <w:r w:rsidR="00BB571B">
        <w:t>improvement within their agency and to develop strategies to respond to them.</w:t>
      </w:r>
    </w:p>
    <w:p w:rsidR="006E3DC4" w:rsidRPr="00FB7426" w:rsidRDefault="00563B9A" w:rsidP="006E3DC4">
      <w:pPr>
        <w:pStyle w:val="ListParagraph"/>
        <w:numPr>
          <w:ilvl w:val="0"/>
          <w:numId w:val="47"/>
        </w:numPr>
      </w:pPr>
      <w:r>
        <w:t xml:space="preserve">While the </w:t>
      </w:r>
      <w:r w:rsidR="006E3DC4" w:rsidRPr="00FB7426">
        <w:t xml:space="preserve">maturity model </w:t>
      </w:r>
      <w:r>
        <w:t xml:space="preserve">was developed for assessing readiness within an agency, the framework could be adapted to guide the </w:t>
      </w:r>
      <w:r w:rsidR="006E3DC4" w:rsidRPr="00FB7426">
        <w:t>future work of the MC P&amp;M.</w:t>
      </w:r>
    </w:p>
    <w:p w:rsidR="006E3DC4" w:rsidRPr="00FB7426" w:rsidRDefault="006E3DC4" w:rsidP="006E3DC4">
      <w:pPr>
        <w:pStyle w:val="ListParagraph"/>
        <w:numPr>
          <w:ilvl w:val="0"/>
          <w:numId w:val="47"/>
        </w:numPr>
      </w:pPr>
      <w:r w:rsidRPr="00FB7426">
        <w:t>The low response rate indicated th</w:t>
      </w:r>
      <w:r w:rsidR="00563B9A">
        <w:t xml:space="preserve">at further work on communicating the value of modernisation within the </w:t>
      </w:r>
      <w:r w:rsidRPr="00FB7426">
        <w:t>modernisation community was required.</w:t>
      </w:r>
    </w:p>
    <w:p w:rsidR="00A712DF" w:rsidRDefault="00613762" w:rsidP="00A712DF">
      <w:pPr>
        <w:pStyle w:val="Heading2"/>
        <w:ind w:left="357" w:hanging="357"/>
      </w:pPr>
      <w:r>
        <w:t xml:space="preserve">Next Steps </w:t>
      </w:r>
    </w:p>
    <w:p w:rsidR="0083042E" w:rsidRDefault="00BB571B">
      <w:pPr>
        <w:rPr>
          <w:rFonts w:ascii="Calibri" w:hAnsi="Calibri" w:cs="Calibri"/>
          <w:color w:val="000000"/>
        </w:rPr>
      </w:pPr>
      <w:r>
        <w:rPr>
          <w:rFonts w:ascii="Calibri" w:hAnsi="Calibri" w:cs="Calibri"/>
          <w:color w:val="000000"/>
        </w:rPr>
        <w:t xml:space="preserve">The MC P&amp;M recommends a series of actions to </w:t>
      </w:r>
      <w:r w:rsidR="00C858E4">
        <w:rPr>
          <w:rFonts w:ascii="Calibri" w:hAnsi="Calibri" w:cs="Calibri"/>
          <w:color w:val="000000"/>
        </w:rPr>
        <w:t xml:space="preserve">leverage this study in order to progress either </w:t>
      </w:r>
      <w:r w:rsidR="00B20874">
        <w:rPr>
          <w:rFonts w:ascii="Calibri" w:hAnsi="Calibri" w:cs="Calibri"/>
          <w:color w:val="000000"/>
        </w:rPr>
        <w:t>the modernisation agenda</w:t>
      </w:r>
      <w:r w:rsidR="00C858E4">
        <w:rPr>
          <w:rFonts w:ascii="Calibri" w:hAnsi="Calibri" w:cs="Calibri"/>
          <w:color w:val="000000"/>
        </w:rPr>
        <w:t xml:space="preserve"> or to help individual </w:t>
      </w:r>
      <w:r>
        <w:rPr>
          <w:rFonts w:ascii="Calibri" w:hAnsi="Calibri" w:cs="Calibri"/>
          <w:color w:val="000000"/>
        </w:rPr>
        <w:t>agencies to modernise</w:t>
      </w:r>
      <w:r w:rsidR="00C858E4">
        <w:rPr>
          <w:rFonts w:ascii="Calibri" w:hAnsi="Calibri" w:cs="Calibri"/>
          <w:color w:val="000000"/>
        </w:rPr>
        <w:t>.</w:t>
      </w:r>
    </w:p>
    <w:p w:rsidR="00BB571B" w:rsidRDefault="00BB571B">
      <w:pPr>
        <w:rPr>
          <w:rFonts w:ascii="Calibri" w:hAnsi="Calibri" w:cs="Calibri"/>
          <w:color w:val="000000"/>
        </w:rPr>
      </w:pPr>
      <w:r>
        <w:rPr>
          <w:rFonts w:ascii="Calibri" w:hAnsi="Calibri" w:cs="Calibri"/>
          <w:color w:val="000000"/>
        </w:rPr>
        <w:t>Recommended actions:</w:t>
      </w:r>
    </w:p>
    <w:p w:rsidR="00C858E4" w:rsidRDefault="002F2015" w:rsidP="00C858E4">
      <w:pPr>
        <w:pStyle w:val="ListParagraph"/>
        <w:numPr>
          <w:ilvl w:val="0"/>
          <w:numId w:val="48"/>
        </w:numPr>
        <w:rPr>
          <w:rFonts w:ascii="Calibri" w:hAnsi="Calibri" w:cs="Calibri"/>
          <w:color w:val="000000"/>
        </w:rPr>
      </w:pPr>
      <w:r>
        <w:rPr>
          <w:rFonts w:ascii="Calibri" w:hAnsi="Calibri" w:cs="Calibri"/>
          <w:color w:val="000000"/>
        </w:rPr>
        <w:t xml:space="preserve">Endorse </w:t>
      </w:r>
      <w:r w:rsidR="00EE2090">
        <w:rPr>
          <w:rFonts w:ascii="Calibri" w:hAnsi="Calibri" w:cs="Calibri"/>
          <w:color w:val="000000"/>
        </w:rPr>
        <w:t>the Modernisation Maturity questionnaire as a</w:t>
      </w:r>
      <w:r>
        <w:rPr>
          <w:rFonts w:ascii="Calibri" w:hAnsi="Calibri" w:cs="Calibri"/>
          <w:color w:val="000000"/>
        </w:rPr>
        <w:t>n effective mechanism</w:t>
      </w:r>
      <w:r w:rsidR="00EE2090">
        <w:rPr>
          <w:rFonts w:ascii="Calibri" w:hAnsi="Calibri" w:cs="Calibri"/>
          <w:color w:val="000000"/>
        </w:rPr>
        <w:t xml:space="preserve"> for </w:t>
      </w:r>
      <w:r>
        <w:rPr>
          <w:rFonts w:ascii="Calibri" w:hAnsi="Calibri" w:cs="Calibri"/>
          <w:color w:val="000000"/>
        </w:rPr>
        <w:t xml:space="preserve">statistical organisations to improve their readiness for modernisation </w:t>
      </w:r>
    </w:p>
    <w:p w:rsidR="00BB571B" w:rsidRDefault="00EE2090" w:rsidP="00EE2090">
      <w:pPr>
        <w:pStyle w:val="ListParagraph"/>
        <w:numPr>
          <w:ilvl w:val="0"/>
          <w:numId w:val="48"/>
        </w:numPr>
        <w:rPr>
          <w:rFonts w:ascii="Calibri" w:hAnsi="Calibri" w:cs="Calibri"/>
          <w:color w:val="000000"/>
        </w:rPr>
      </w:pPr>
      <w:r w:rsidRPr="00EE2090">
        <w:rPr>
          <w:rFonts w:ascii="Calibri" w:hAnsi="Calibri" w:cs="Calibri"/>
          <w:color w:val="000000"/>
        </w:rPr>
        <w:t>Encourage and promote the use of the Modernisation Maturity questionnaire to other statistical organisations</w:t>
      </w:r>
      <w:r w:rsidR="002F2015">
        <w:rPr>
          <w:rFonts w:ascii="Calibri" w:hAnsi="Calibri" w:cs="Calibri"/>
          <w:color w:val="000000"/>
        </w:rPr>
        <w:t xml:space="preserve"> and release the tool and supporting material on the UN ECE Wiki </w:t>
      </w:r>
      <w:r w:rsidR="00E930F8" w:rsidRPr="00E930F8">
        <w:rPr>
          <w:rFonts w:ascii="Calibri" w:hAnsi="Calibri" w:cs="Calibri"/>
          <w:color w:val="E36C0A" w:themeColor="accent6" w:themeShade="BF"/>
        </w:rPr>
        <w:t>for</w:t>
      </w:r>
      <w:r w:rsidR="00E930F8">
        <w:rPr>
          <w:rFonts w:ascii="Calibri" w:hAnsi="Calibri" w:cs="Calibri"/>
          <w:color w:val="000000"/>
        </w:rPr>
        <w:t xml:space="preserve"> </w:t>
      </w:r>
      <w:r w:rsidR="002F2015">
        <w:rPr>
          <w:rFonts w:ascii="Calibri" w:hAnsi="Calibri" w:cs="Calibri"/>
          <w:color w:val="000000"/>
        </w:rPr>
        <w:t>other statistical organisations to utilise</w:t>
      </w:r>
    </w:p>
    <w:p w:rsidR="00EE2090" w:rsidRDefault="002F2015" w:rsidP="00EE2090">
      <w:pPr>
        <w:pStyle w:val="ListParagraph"/>
        <w:numPr>
          <w:ilvl w:val="0"/>
          <w:numId w:val="48"/>
        </w:numPr>
        <w:rPr>
          <w:rFonts w:ascii="Calibri" w:hAnsi="Calibri" w:cs="Calibri"/>
          <w:color w:val="000000"/>
        </w:rPr>
      </w:pPr>
      <w:r>
        <w:rPr>
          <w:rFonts w:ascii="Calibri" w:hAnsi="Calibri" w:cs="Calibri"/>
          <w:color w:val="000000"/>
        </w:rPr>
        <w:t>The future work programs of the</w:t>
      </w:r>
      <w:r w:rsidR="00EE2090">
        <w:rPr>
          <w:rFonts w:ascii="Calibri" w:hAnsi="Calibri" w:cs="Calibri"/>
          <w:color w:val="000000"/>
        </w:rPr>
        <w:t xml:space="preserve"> </w:t>
      </w:r>
      <w:r>
        <w:rPr>
          <w:rFonts w:ascii="Calibri" w:hAnsi="Calibri" w:cs="Calibri"/>
          <w:color w:val="000000"/>
        </w:rPr>
        <w:t>MC</w:t>
      </w:r>
      <w:r w:rsidR="00EE2090">
        <w:rPr>
          <w:rFonts w:ascii="Calibri" w:hAnsi="Calibri" w:cs="Calibri"/>
          <w:color w:val="000000"/>
        </w:rPr>
        <w:t xml:space="preserve"> P&amp;M leverages the maturity framework</w:t>
      </w:r>
      <w:r>
        <w:rPr>
          <w:rFonts w:ascii="Calibri" w:hAnsi="Calibri" w:cs="Calibri"/>
          <w:color w:val="000000"/>
        </w:rPr>
        <w:t xml:space="preserve"> and the maturity of the community</w:t>
      </w:r>
      <w:r w:rsidR="00EE2090">
        <w:rPr>
          <w:rFonts w:ascii="Calibri" w:hAnsi="Calibri" w:cs="Calibri"/>
          <w:color w:val="000000"/>
        </w:rPr>
        <w:t>.</w:t>
      </w:r>
    </w:p>
    <w:p w:rsidR="00EE2090" w:rsidRPr="00EE2090" w:rsidRDefault="00EE2090" w:rsidP="00EE2090">
      <w:pPr>
        <w:pStyle w:val="ListParagraph"/>
        <w:numPr>
          <w:ilvl w:val="0"/>
          <w:numId w:val="48"/>
        </w:numPr>
        <w:rPr>
          <w:rFonts w:ascii="Calibri" w:hAnsi="Calibri" w:cs="Calibri"/>
          <w:color w:val="000000"/>
        </w:rPr>
      </w:pPr>
      <w:r>
        <w:rPr>
          <w:rFonts w:ascii="Calibri" w:hAnsi="Calibri" w:cs="Calibri"/>
          <w:color w:val="000000"/>
        </w:rPr>
        <w:t>Increase the level of communication about modernisation to statistical organisations, utilising the maturity framework to provide targeted messages to stakeholders within organisations.</w:t>
      </w:r>
      <w:r w:rsidRPr="00EE2090">
        <w:rPr>
          <w:rFonts w:ascii="Calibri" w:hAnsi="Calibri" w:cs="Calibri"/>
          <w:color w:val="000000"/>
        </w:rPr>
        <w:t xml:space="preserve"> </w:t>
      </w:r>
    </w:p>
    <w:sectPr w:rsidR="00EE2090" w:rsidRPr="00EE20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0EA5"/>
    <w:multiLevelType w:val="hybridMultilevel"/>
    <w:tmpl w:val="3E386A0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532041A"/>
    <w:multiLevelType w:val="hybridMultilevel"/>
    <w:tmpl w:val="222A20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5B77F72"/>
    <w:multiLevelType w:val="hybridMultilevel"/>
    <w:tmpl w:val="296C7F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75C108F"/>
    <w:multiLevelType w:val="hybridMultilevel"/>
    <w:tmpl w:val="C4F69E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BB14657"/>
    <w:multiLevelType w:val="hybridMultilevel"/>
    <w:tmpl w:val="62E42E92"/>
    <w:lvl w:ilvl="0" w:tplc="0C090001">
      <w:start w:val="1"/>
      <w:numFmt w:val="bullet"/>
      <w:lvlText w:val=""/>
      <w:lvlJc w:val="left"/>
      <w:pPr>
        <w:ind w:left="980" w:hanging="360"/>
      </w:pPr>
      <w:rPr>
        <w:rFonts w:ascii="Symbol" w:hAnsi="Symbol" w:hint="default"/>
      </w:rPr>
    </w:lvl>
    <w:lvl w:ilvl="1" w:tplc="0C090003">
      <w:start w:val="1"/>
      <w:numFmt w:val="bullet"/>
      <w:lvlText w:val="o"/>
      <w:lvlJc w:val="left"/>
      <w:pPr>
        <w:ind w:left="1700" w:hanging="360"/>
      </w:pPr>
      <w:rPr>
        <w:rFonts w:ascii="Courier New" w:hAnsi="Courier New" w:cs="Courier New" w:hint="default"/>
      </w:rPr>
    </w:lvl>
    <w:lvl w:ilvl="2" w:tplc="0C090005" w:tentative="1">
      <w:start w:val="1"/>
      <w:numFmt w:val="bullet"/>
      <w:lvlText w:val=""/>
      <w:lvlJc w:val="left"/>
      <w:pPr>
        <w:ind w:left="2420" w:hanging="360"/>
      </w:pPr>
      <w:rPr>
        <w:rFonts w:ascii="Wingdings" w:hAnsi="Wingdings" w:hint="default"/>
      </w:rPr>
    </w:lvl>
    <w:lvl w:ilvl="3" w:tplc="0C090001" w:tentative="1">
      <w:start w:val="1"/>
      <w:numFmt w:val="bullet"/>
      <w:lvlText w:val=""/>
      <w:lvlJc w:val="left"/>
      <w:pPr>
        <w:ind w:left="3140" w:hanging="360"/>
      </w:pPr>
      <w:rPr>
        <w:rFonts w:ascii="Symbol" w:hAnsi="Symbol" w:hint="default"/>
      </w:rPr>
    </w:lvl>
    <w:lvl w:ilvl="4" w:tplc="0C090003" w:tentative="1">
      <w:start w:val="1"/>
      <w:numFmt w:val="bullet"/>
      <w:lvlText w:val="o"/>
      <w:lvlJc w:val="left"/>
      <w:pPr>
        <w:ind w:left="3860" w:hanging="360"/>
      </w:pPr>
      <w:rPr>
        <w:rFonts w:ascii="Courier New" w:hAnsi="Courier New" w:cs="Courier New" w:hint="default"/>
      </w:rPr>
    </w:lvl>
    <w:lvl w:ilvl="5" w:tplc="0C090005" w:tentative="1">
      <w:start w:val="1"/>
      <w:numFmt w:val="bullet"/>
      <w:lvlText w:val=""/>
      <w:lvlJc w:val="left"/>
      <w:pPr>
        <w:ind w:left="4580" w:hanging="360"/>
      </w:pPr>
      <w:rPr>
        <w:rFonts w:ascii="Wingdings" w:hAnsi="Wingdings" w:hint="default"/>
      </w:rPr>
    </w:lvl>
    <w:lvl w:ilvl="6" w:tplc="0C090001" w:tentative="1">
      <w:start w:val="1"/>
      <w:numFmt w:val="bullet"/>
      <w:lvlText w:val=""/>
      <w:lvlJc w:val="left"/>
      <w:pPr>
        <w:ind w:left="5300" w:hanging="360"/>
      </w:pPr>
      <w:rPr>
        <w:rFonts w:ascii="Symbol" w:hAnsi="Symbol" w:hint="default"/>
      </w:rPr>
    </w:lvl>
    <w:lvl w:ilvl="7" w:tplc="0C090003" w:tentative="1">
      <w:start w:val="1"/>
      <w:numFmt w:val="bullet"/>
      <w:lvlText w:val="o"/>
      <w:lvlJc w:val="left"/>
      <w:pPr>
        <w:ind w:left="6020" w:hanging="360"/>
      </w:pPr>
      <w:rPr>
        <w:rFonts w:ascii="Courier New" w:hAnsi="Courier New" w:cs="Courier New" w:hint="default"/>
      </w:rPr>
    </w:lvl>
    <w:lvl w:ilvl="8" w:tplc="0C090005" w:tentative="1">
      <w:start w:val="1"/>
      <w:numFmt w:val="bullet"/>
      <w:lvlText w:val=""/>
      <w:lvlJc w:val="left"/>
      <w:pPr>
        <w:ind w:left="6740" w:hanging="360"/>
      </w:pPr>
      <w:rPr>
        <w:rFonts w:ascii="Wingdings" w:hAnsi="Wingdings" w:hint="default"/>
      </w:rPr>
    </w:lvl>
  </w:abstractNum>
  <w:abstractNum w:abstractNumId="5">
    <w:nsid w:val="0D2B6612"/>
    <w:multiLevelType w:val="hybridMultilevel"/>
    <w:tmpl w:val="183E6A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3F1342F"/>
    <w:multiLevelType w:val="hybridMultilevel"/>
    <w:tmpl w:val="6B46D6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A8D520C"/>
    <w:multiLevelType w:val="hybridMultilevel"/>
    <w:tmpl w:val="9C525E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BA660CA"/>
    <w:multiLevelType w:val="multilevel"/>
    <w:tmpl w:val="04E4F634"/>
    <w:styleLink w:val="Style1"/>
    <w:lvl w:ilvl="0">
      <w:start w:val="1"/>
      <w:numFmt w:val="decimal"/>
      <w:lvlText w:val="A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E2644AA"/>
    <w:multiLevelType w:val="hybridMultilevel"/>
    <w:tmpl w:val="E7B25C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E63758E"/>
    <w:multiLevelType w:val="multilevel"/>
    <w:tmpl w:val="9AA895DC"/>
    <w:numStyleLink w:val="CaseNumberMB1"/>
  </w:abstractNum>
  <w:abstractNum w:abstractNumId="11">
    <w:nsid w:val="2039730A"/>
    <w:multiLevelType w:val="multilevel"/>
    <w:tmpl w:val="9AA895DC"/>
    <w:numStyleLink w:val="CaseNumberMB1"/>
  </w:abstractNum>
  <w:abstractNum w:abstractNumId="12">
    <w:nsid w:val="210A3ECF"/>
    <w:multiLevelType w:val="multilevel"/>
    <w:tmpl w:val="9AA895DC"/>
    <w:numStyleLink w:val="CaseNumberMB1"/>
  </w:abstractNum>
  <w:abstractNum w:abstractNumId="13">
    <w:nsid w:val="21905188"/>
    <w:multiLevelType w:val="hybridMultilevel"/>
    <w:tmpl w:val="4A3649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3A702B3"/>
    <w:multiLevelType w:val="hybridMultilevel"/>
    <w:tmpl w:val="5F98C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5DC101A"/>
    <w:multiLevelType w:val="hybridMultilevel"/>
    <w:tmpl w:val="DA3CEA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62F24F8"/>
    <w:multiLevelType w:val="hybridMultilevel"/>
    <w:tmpl w:val="0D7C8B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7E5454B"/>
    <w:multiLevelType w:val="hybridMultilevel"/>
    <w:tmpl w:val="1AAEE9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91E2B8E"/>
    <w:multiLevelType w:val="hybridMultilevel"/>
    <w:tmpl w:val="5F640412"/>
    <w:lvl w:ilvl="0" w:tplc="0C090001">
      <w:start w:val="1"/>
      <w:numFmt w:val="bullet"/>
      <w:lvlText w:val=""/>
      <w:lvlJc w:val="left"/>
      <w:pPr>
        <w:ind w:left="980" w:hanging="360"/>
      </w:pPr>
      <w:rPr>
        <w:rFonts w:ascii="Symbol" w:hAnsi="Symbol" w:hint="default"/>
      </w:rPr>
    </w:lvl>
    <w:lvl w:ilvl="1" w:tplc="0C090003" w:tentative="1">
      <w:start w:val="1"/>
      <w:numFmt w:val="bullet"/>
      <w:lvlText w:val="o"/>
      <w:lvlJc w:val="left"/>
      <w:pPr>
        <w:ind w:left="1700" w:hanging="360"/>
      </w:pPr>
      <w:rPr>
        <w:rFonts w:ascii="Courier New" w:hAnsi="Courier New" w:cs="Courier New" w:hint="default"/>
      </w:rPr>
    </w:lvl>
    <w:lvl w:ilvl="2" w:tplc="0C090005" w:tentative="1">
      <w:start w:val="1"/>
      <w:numFmt w:val="bullet"/>
      <w:lvlText w:val=""/>
      <w:lvlJc w:val="left"/>
      <w:pPr>
        <w:ind w:left="2420" w:hanging="360"/>
      </w:pPr>
      <w:rPr>
        <w:rFonts w:ascii="Wingdings" w:hAnsi="Wingdings" w:hint="default"/>
      </w:rPr>
    </w:lvl>
    <w:lvl w:ilvl="3" w:tplc="0C090001" w:tentative="1">
      <w:start w:val="1"/>
      <w:numFmt w:val="bullet"/>
      <w:lvlText w:val=""/>
      <w:lvlJc w:val="left"/>
      <w:pPr>
        <w:ind w:left="3140" w:hanging="360"/>
      </w:pPr>
      <w:rPr>
        <w:rFonts w:ascii="Symbol" w:hAnsi="Symbol" w:hint="default"/>
      </w:rPr>
    </w:lvl>
    <w:lvl w:ilvl="4" w:tplc="0C090003" w:tentative="1">
      <w:start w:val="1"/>
      <w:numFmt w:val="bullet"/>
      <w:lvlText w:val="o"/>
      <w:lvlJc w:val="left"/>
      <w:pPr>
        <w:ind w:left="3860" w:hanging="360"/>
      </w:pPr>
      <w:rPr>
        <w:rFonts w:ascii="Courier New" w:hAnsi="Courier New" w:cs="Courier New" w:hint="default"/>
      </w:rPr>
    </w:lvl>
    <w:lvl w:ilvl="5" w:tplc="0C090005" w:tentative="1">
      <w:start w:val="1"/>
      <w:numFmt w:val="bullet"/>
      <w:lvlText w:val=""/>
      <w:lvlJc w:val="left"/>
      <w:pPr>
        <w:ind w:left="4580" w:hanging="360"/>
      </w:pPr>
      <w:rPr>
        <w:rFonts w:ascii="Wingdings" w:hAnsi="Wingdings" w:hint="default"/>
      </w:rPr>
    </w:lvl>
    <w:lvl w:ilvl="6" w:tplc="0C090001" w:tentative="1">
      <w:start w:val="1"/>
      <w:numFmt w:val="bullet"/>
      <w:lvlText w:val=""/>
      <w:lvlJc w:val="left"/>
      <w:pPr>
        <w:ind w:left="5300" w:hanging="360"/>
      </w:pPr>
      <w:rPr>
        <w:rFonts w:ascii="Symbol" w:hAnsi="Symbol" w:hint="default"/>
      </w:rPr>
    </w:lvl>
    <w:lvl w:ilvl="7" w:tplc="0C090003" w:tentative="1">
      <w:start w:val="1"/>
      <w:numFmt w:val="bullet"/>
      <w:lvlText w:val="o"/>
      <w:lvlJc w:val="left"/>
      <w:pPr>
        <w:ind w:left="6020" w:hanging="360"/>
      </w:pPr>
      <w:rPr>
        <w:rFonts w:ascii="Courier New" w:hAnsi="Courier New" w:cs="Courier New" w:hint="default"/>
      </w:rPr>
    </w:lvl>
    <w:lvl w:ilvl="8" w:tplc="0C090005" w:tentative="1">
      <w:start w:val="1"/>
      <w:numFmt w:val="bullet"/>
      <w:lvlText w:val=""/>
      <w:lvlJc w:val="left"/>
      <w:pPr>
        <w:ind w:left="6740" w:hanging="360"/>
      </w:pPr>
      <w:rPr>
        <w:rFonts w:ascii="Wingdings" w:hAnsi="Wingdings" w:hint="default"/>
      </w:rPr>
    </w:lvl>
  </w:abstractNum>
  <w:abstractNum w:abstractNumId="19">
    <w:nsid w:val="2A081FCC"/>
    <w:multiLevelType w:val="hybridMultilevel"/>
    <w:tmpl w:val="0F5241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4072D0F"/>
    <w:multiLevelType w:val="hybridMultilevel"/>
    <w:tmpl w:val="68564B3E"/>
    <w:lvl w:ilvl="0" w:tplc="0C090001">
      <w:start w:val="1"/>
      <w:numFmt w:val="bullet"/>
      <w:lvlText w:val=""/>
      <w:lvlJc w:val="left"/>
      <w:pPr>
        <w:ind w:left="980" w:hanging="360"/>
      </w:pPr>
      <w:rPr>
        <w:rFonts w:ascii="Symbol" w:hAnsi="Symbol" w:hint="default"/>
      </w:rPr>
    </w:lvl>
    <w:lvl w:ilvl="1" w:tplc="0C090003">
      <w:start w:val="1"/>
      <w:numFmt w:val="bullet"/>
      <w:lvlText w:val="o"/>
      <w:lvlJc w:val="left"/>
      <w:pPr>
        <w:ind w:left="1700" w:hanging="360"/>
      </w:pPr>
      <w:rPr>
        <w:rFonts w:ascii="Courier New" w:hAnsi="Courier New" w:cs="Courier New" w:hint="default"/>
      </w:rPr>
    </w:lvl>
    <w:lvl w:ilvl="2" w:tplc="0C090005" w:tentative="1">
      <w:start w:val="1"/>
      <w:numFmt w:val="bullet"/>
      <w:lvlText w:val=""/>
      <w:lvlJc w:val="left"/>
      <w:pPr>
        <w:ind w:left="2420" w:hanging="360"/>
      </w:pPr>
      <w:rPr>
        <w:rFonts w:ascii="Wingdings" w:hAnsi="Wingdings" w:hint="default"/>
      </w:rPr>
    </w:lvl>
    <w:lvl w:ilvl="3" w:tplc="0C090001" w:tentative="1">
      <w:start w:val="1"/>
      <w:numFmt w:val="bullet"/>
      <w:lvlText w:val=""/>
      <w:lvlJc w:val="left"/>
      <w:pPr>
        <w:ind w:left="3140" w:hanging="360"/>
      </w:pPr>
      <w:rPr>
        <w:rFonts w:ascii="Symbol" w:hAnsi="Symbol" w:hint="default"/>
      </w:rPr>
    </w:lvl>
    <w:lvl w:ilvl="4" w:tplc="0C090003" w:tentative="1">
      <w:start w:val="1"/>
      <w:numFmt w:val="bullet"/>
      <w:lvlText w:val="o"/>
      <w:lvlJc w:val="left"/>
      <w:pPr>
        <w:ind w:left="3860" w:hanging="360"/>
      </w:pPr>
      <w:rPr>
        <w:rFonts w:ascii="Courier New" w:hAnsi="Courier New" w:cs="Courier New" w:hint="default"/>
      </w:rPr>
    </w:lvl>
    <w:lvl w:ilvl="5" w:tplc="0C090005" w:tentative="1">
      <w:start w:val="1"/>
      <w:numFmt w:val="bullet"/>
      <w:lvlText w:val=""/>
      <w:lvlJc w:val="left"/>
      <w:pPr>
        <w:ind w:left="4580" w:hanging="360"/>
      </w:pPr>
      <w:rPr>
        <w:rFonts w:ascii="Wingdings" w:hAnsi="Wingdings" w:hint="default"/>
      </w:rPr>
    </w:lvl>
    <w:lvl w:ilvl="6" w:tplc="0C090001" w:tentative="1">
      <w:start w:val="1"/>
      <w:numFmt w:val="bullet"/>
      <w:lvlText w:val=""/>
      <w:lvlJc w:val="left"/>
      <w:pPr>
        <w:ind w:left="5300" w:hanging="360"/>
      </w:pPr>
      <w:rPr>
        <w:rFonts w:ascii="Symbol" w:hAnsi="Symbol" w:hint="default"/>
      </w:rPr>
    </w:lvl>
    <w:lvl w:ilvl="7" w:tplc="0C090003" w:tentative="1">
      <w:start w:val="1"/>
      <w:numFmt w:val="bullet"/>
      <w:lvlText w:val="o"/>
      <w:lvlJc w:val="left"/>
      <w:pPr>
        <w:ind w:left="6020" w:hanging="360"/>
      </w:pPr>
      <w:rPr>
        <w:rFonts w:ascii="Courier New" w:hAnsi="Courier New" w:cs="Courier New" w:hint="default"/>
      </w:rPr>
    </w:lvl>
    <w:lvl w:ilvl="8" w:tplc="0C090005" w:tentative="1">
      <w:start w:val="1"/>
      <w:numFmt w:val="bullet"/>
      <w:lvlText w:val=""/>
      <w:lvlJc w:val="left"/>
      <w:pPr>
        <w:ind w:left="6740" w:hanging="360"/>
      </w:pPr>
      <w:rPr>
        <w:rFonts w:ascii="Wingdings" w:hAnsi="Wingdings" w:hint="default"/>
      </w:rPr>
    </w:lvl>
  </w:abstractNum>
  <w:abstractNum w:abstractNumId="21">
    <w:nsid w:val="36E819D5"/>
    <w:multiLevelType w:val="hybridMultilevel"/>
    <w:tmpl w:val="62A25B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F751ACD"/>
    <w:multiLevelType w:val="multilevel"/>
    <w:tmpl w:val="9AA895DC"/>
    <w:numStyleLink w:val="CaseNumberMB1"/>
  </w:abstractNum>
  <w:abstractNum w:abstractNumId="23">
    <w:nsid w:val="42BF56A0"/>
    <w:multiLevelType w:val="multilevel"/>
    <w:tmpl w:val="9AA895DC"/>
    <w:numStyleLink w:val="CaseNumberMB1"/>
  </w:abstractNum>
  <w:abstractNum w:abstractNumId="24">
    <w:nsid w:val="46CC4840"/>
    <w:multiLevelType w:val="hybridMultilevel"/>
    <w:tmpl w:val="1F16E5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7043013"/>
    <w:multiLevelType w:val="multilevel"/>
    <w:tmpl w:val="9AA895DC"/>
    <w:styleLink w:val="CaseNumberMB1"/>
    <w:lvl w:ilvl="0">
      <w:start w:val="1"/>
      <w:numFmt w:val="decimal"/>
      <w:pStyle w:val="Heading2"/>
      <w:lvlText w:val="%1."/>
      <w:lvlJc w:val="left"/>
      <w:pPr>
        <w:ind w:left="1080" w:hanging="360"/>
      </w:pPr>
      <w:rPr>
        <w:rFonts w:hint="default"/>
      </w:rPr>
    </w:lvl>
    <w:lvl w:ilvl="1">
      <w:start w:val="1"/>
      <w:numFmt w:val="decimal"/>
      <w:pStyle w:val="Heading3"/>
      <w:lvlText w:val="%1.%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6">
    <w:nsid w:val="47530AFB"/>
    <w:multiLevelType w:val="hybridMultilevel"/>
    <w:tmpl w:val="036829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81B68CA"/>
    <w:multiLevelType w:val="hybridMultilevel"/>
    <w:tmpl w:val="C61E08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E5258B1"/>
    <w:multiLevelType w:val="hybridMultilevel"/>
    <w:tmpl w:val="74C8A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3B62184"/>
    <w:multiLevelType w:val="hybridMultilevel"/>
    <w:tmpl w:val="1FF0B1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75173F7"/>
    <w:multiLevelType w:val="hybridMultilevel"/>
    <w:tmpl w:val="3FC4AA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8161CB4"/>
    <w:multiLevelType w:val="hybridMultilevel"/>
    <w:tmpl w:val="C74E79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5890442E"/>
    <w:multiLevelType w:val="hybridMultilevel"/>
    <w:tmpl w:val="B1602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F3C4ACC"/>
    <w:multiLevelType w:val="hybridMultilevel"/>
    <w:tmpl w:val="9384C4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AAF1911"/>
    <w:multiLevelType w:val="multilevel"/>
    <w:tmpl w:val="9AA895DC"/>
    <w:numStyleLink w:val="CaseNumberMB1"/>
  </w:abstractNum>
  <w:abstractNum w:abstractNumId="35">
    <w:nsid w:val="6B240EB5"/>
    <w:multiLevelType w:val="hybridMultilevel"/>
    <w:tmpl w:val="AE30E6F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6B5F5E11"/>
    <w:multiLevelType w:val="multilevel"/>
    <w:tmpl w:val="04E4F634"/>
    <w:numStyleLink w:val="Style1"/>
  </w:abstractNum>
  <w:abstractNum w:abstractNumId="37">
    <w:nsid w:val="6C1667AF"/>
    <w:multiLevelType w:val="hybridMultilevel"/>
    <w:tmpl w:val="EE0249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D91124A"/>
    <w:multiLevelType w:val="hybridMultilevel"/>
    <w:tmpl w:val="B29C8A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F2A5E13"/>
    <w:multiLevelType w:val="hybridMultilevel"/>
    <w:tmpl w:val="964EDD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5627906"/>
    <w:multiLevelType w:val="hybridMultilevel"/>
    <w:tmpl w:val="35D0E7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B36239E"/>
    <w:multiLevelType w:val="hybridMultilevel"/>
    <w:tmpl w:val="51EA02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29"/>
  </w:num>
  <w:num w:numId="3">
    <w:abstractNumId w:val="21"/>
  </w:num>
  <w:num w:numId="4">
    <w:abstractNumId w:val="25"/>
  </w:num>
  <w:num w:numId="5">
    <w:abstractNumId w:val="22"/>
  </w:num>
  <w:num w:numId="6">
    <w:abstractNumId w:val="34"/>
  </w:num>
  <w:num w:numId="7">
    <w:abstractNumId w:val="10"/>
  </w:num>
  <w:num w:numId="8">
    <w:abstractNumId w:val="11"/>
  </w:num>
  <w:num w:numId="9">
    <w:abstractNumId w:val="18"/>
  </w:num>
  <w:num w:numId="10">
    <w:abstractNumId w:val="4"/>
  </w:num>
  <w:num w:numId="11">
    <w:abstractNumId w:val="3"/>
  </w:num>
  <w:num w:numId="12">
    <w:abstractNumId w:val="20"/>
  </w:num>
  <w:num w:numId="13">
    <w:abstractNumId w:val="8"/>
  </w:num>
  <w:num w:numId="14">
    <w:abstractNumId w:val="36"/>
  </w:num>
  <w:num w:numId="15">
    <w:abstractNumId w:val="11"/>
  </w:num>
  <w:num w:numId="16">
    <w:abstractNumId w:val="23"/>
    <w:lvlOverride w:ilvl="0">
      <w:lvl w:ilvl="0">
        <w:start w:val="1"/>
        <w:numFmt w:val="decimal"/>
        <w:pStyle w:val="Heading2"/>
        <w:lvlText w:val="%1."/>
        <w:lvlJc w:val="left"/>
        <w:pPr>
          <w:ind w:left="1080" w:hanging="360"/>
        </w:pPr>
        <w:rPr>
          <w:rFonts w:hint="default"/>
        </w:rPr>
      </w:lvl>
    </w:lvlOverride>
    <w:lvlOverride w:ilvl="1">
      <w:lvl w:ilvl="1">
        <w:start w:val="1"/>
        <w:numFmt w:val="decimal"/>
        <w:pStyle w:val="Heading3"/>
        <w:lvlText w:val="%1.%2"/>
        <w:lvlJc w:val="left"/>
        <w:pPr>
          <w:ind w:left="144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lowerRoman"/>
        <w:lvlText w:val="%3)"/>
        <w:lvlJc w:val="left"/>
        <w:pPr>
          <w:ind w:left="1800" w:hanging="360"/>
        </w:pPr>
        <w:rPr>
          <w:rFonts w:hint="default"/>
        </w:rPr>
      </w:lvl>
    </w:lvlOverride>
    <w:lvlOverride w:ilvl="3">
      <w:lvl w:ilvl="3">
        <w:start w:val="1"/>
        <w:numFmt w:val="decimal"/>
        <w:lvlText w:val="(%4)"/>
        <w:lvlJc w:val="left"/>
        <w:pPr>
          <w:ind w:left="2160" w:hanging="360"/>
        </w:pPr>
        <w:rPr>
          <w:rFonts w:hint="default"/>
        </w:rPr>
      </w:lvl>
    </w:lvlOverride>
    <w:lvlOverride w:ilvl="4">
      <w:lvl w:ilvl="4">
        <w:start w:val="1"/>
        <w:numFmt w:val="lowerLetter"/>
        <w:lvlText w:val="(%5)"/>
        <w:lvlJc w:val="left"/>
        <w:pPr>
          <w:ind w:left="2520" w:hanging="360"/>
        </w:pPr>
        <w:rPr>
          <w:rFonts w:hint="default"/>
        </w:rPr>
      </w:lvl>
    </w:lvlOverride>
    <w:lvlOverride w:ilvl="5">
      <w:lvl w:ilvl="5">
        <w:start w:val="1"/>
        <w:numFmt w:val="lowerRoman"/>
        <w:lvlText w:val="(%6)"/>
        <w:lvlJc w:val="left"/>
        <w:pPr>
          <w:ind w:left="2880" w:hanging="360"/>
        </w:pPr>
        <w:rPr>
          <w:rFonts w:hint="default"/>
        </w:rPr>
      </w:lvl>
    </w:lvlOverride>
    <w:lvlOverride w:ilvl="6">
      <w:lvl w:ilvl="6">
        <w:start w:val="1"/>
        <w:numFmt w:val="decimal"/>
        <w:lvlText w:val="%7."/>
        <w:lvlJc w:val="left"/>
        <w:pPr>
          <w:ind w:left="3240" w:hanging="360"/>
        </w:pPr>
        <w:rPr>
          <w:rFonts w:hint="default"/>
        </w:rPr>
      </w:lvl>
    </w:lvlOverride>
    <w:lvlOverride w:ilvl="7">
      <w:lvl w:ilvl="7">
        <w:start w:val="1"/>
        <w:numFmt w:val="lowerLetter"/>
        <w:lvlText w:val="%8."/>
        <w:lvlJc w:val="left"/>
        <w:pPr>
          <w:ind w:left="3600" w:hanging="360"/>
        </w:pPr>
        <w:rPr>
          <w:rFonts w:hint="default"/>
        </w:rPr>
      </w:lvl>
    </w:lvlOverride>
    <w:lvlOverride w:ilvl="8">
      <w:lvl w:ilvl="8">
        <w:start w:val="1"/>
        <w:numFmt w:val="lowerRoman"/>
        <w:lvlText w:val="%9."/>
        <w:lvlJc w:val="left"/>
        <w:pPr>
          <w:ind w:left="3960" w:hanging="360"/>
        </w:pPr>
        <w:rPr>
          <w:rFonts w:hint="default"/>
        </w:rPr>
      </w:lvl>
    </w:lvlOverride>
  </w:num>
  <w:num w:numId="17">
    <w:abstractNumId w:val="28"/>
  </w:num>
  <w:num w:numId="18">
    <w:abstractNumId w:val="41"/>
  </w:num>
  <w:num w:numId="19">
    <w:abstractNumId w:val="5"/>
  </w:num>
  <w:num w:numId="20">
    <w:abstractNumId w:val="40"/>
  </w:num>
  <w:num w:numId="21">
    <w:abstractNumId w:val="27"/>
  </w:num>
  <w:num w:numId="22">
    <w:abstractNumId w:val="26"/>
  </w:num>
  <w:num w:numId="23">
    <w:abstractNumId w:val="33"/>
  </w:num>
  <w:num w:numId="24">
    <w:abstractNumId w:val="38"/>
  </w:num>
  <w:num w:numId="25">
    <w:abstractNumId w:val="23"/>
    <w:lvlOverride w:ilvl="0">
      <w:lvl w:ilvl="0">
        <w:start w:val="1"/>
        <w:numFmt w:val="decimal"/>
        <w:pStyle w:val="Heading2"/>
        <w:lvlText w:val="%1."/>
        <w:lvlJc w:val="left"/>
        <w:pPr>
          <w:ind w:left="1080" w:hanging="360"/>
        </w:pPr>
        <w:rPr>
          <w:rFonts w:hint="default"/>
        </w:rPr>
      </w:lvl>
    </w:lvlOverride>
  </w:num>
  <w:num w:numId="26">
    <w:abstractNumId w:val="9"/>
  </w:num>
  <w:num w:numId="27">
    <w:abstractNumId w:val="12"/>
  </w:num>
  <w:num w:numId="28">
    <w:abstractNumId w:val="14"/>
  </w:num>
  <w:num w:numId="29">
    <w:abstractNumId w:val="2"/>
  </w:num>
  <w:num w:numId="30">
    <w:abstractNumId w:val="1"/>
  </w:num>
  <w:num w:numId="31">
    <w:abstractNumId w:val="32"/>
  </w:num>
  <w:num w:numId="32">
    <w:abstractNumId w:val="39"/>
  </w:num>
  <w:num w:numId="33">
    <w:abstractNumId w:val="31"/>
  </w:num>
  <w:num w:numId="34">
    <w:abstractNumId w:val="13"/>
  </w:num>
  <w:num w:numId="35">
    <w:abstractNumId w:val="30"/>
  </w:num>
  <w:num w:numId="36">
    <w:abstractNumId w:val="24"/>
  </w:num>
  <w:num w:numId="37">
    <w:abstractNumId w:val="7"/>
  </w:num>
  <w:num w:numId="38">
    <w:abstractNumId w:val="19"/>
  </w:num>
  <w:num w:numId="39">
    <w:abstractNumId w:val="23"/>
    <w:lvlOverride w:ilvl="0">
      <w:lvl w:ilvl="0">
        <w:start w:val="1"/>
        <w:numFmt w:val="decimal"/>
        <w:pStyle w:val="Heading2"/>
        <w:lvlText w:val="%1."/>
        <w:lvlJc w:val="left"/>
        <w:pPr>
          <w:ind w:left="1080" w:hanging="360"/>
        </w:pPr>
        <w:rPr>
          <w:rFonts w:hint="default"/>
        </w:rPr>
      </w:lvl>
    </w:lvlOverride>
    <w:lvlOverride w:ilvl="1">
      <w:lvl w:ilvl="1">
        <w:start w:val="1"/>
        <w:numFmt w:val="decimal"/>
        <w:pStyle w:val="Heading3"/>
        <w:lvlText w:val="%1.%2"/>
        <w:lvlJc w:val="left"/>
        <w:pPr>
          <w:ind w:left="1440" w:hanging="360"/>
        </w:pPr>
        <w:rPr>
          <w:rFonts w:hint="default"/>
        </w:rPr>
      </w:lvl>
    </w:lvlOverride>
    <w:lvlOverride w:ilvl="2">
      <w:lvl w:ilvl="2">
        <w:start w:val="1"/>
        <w:numFmt w:val="lowerRoman"/>
        <w:lvlText w:val="%3)"/>
        <w:lvlJc w:val="left"/>
        <w:pPr>
          <w:ind w:left="1800" w:hanging="360"/>
        </w:pPr>
        <w:rPr>
          <w:rFonts w:hint="default"/>
        </w:rPr>
      </w:lvl>
    </w:lvlOverride>
    <w:lvlOverride w:ilvl="3">
      <w:lvl w:ilvl="3">
        <w:start w:val="1"/>
        <w:numFmt w:val="decimal"/>
        <w:lvlText w:val="(%4)"/>
        <w:lvlJc w:val="left"/>
        <w:pPr>
          <w:ind w:left="2160" w:hanging="360"/>
        </w:pPr>
        <w:rPr>
          <w:rFonts w:hint="default"/>
        </w:rPr>
      </w:lvl>
    </w:lvlOverride>
    <w:lvlOverride w:ilvl="4">
      <w:lvl w:ilvl="4">
        <w:start w:val="1"/>
        <w:numFmt w:val="lowerLetter"/>
        <w:lvlText w:val="(%5)"/>
        <w:lvlJc w:val="left"/>
        <w:pPr>
          <w:ind w:left="2520" w:hanging="360"/>
        </w:pPr>
        <w:rPr>
          <w:rFonts w:hint="default"/>
        </w:rPr>
      </w:lvl>
    </w:lvlOverride>
    <w:lvlOverride w:ilvl="5">
      <w:lvl w:ilvl="5">
        <w:start w:val="1"/>
        <w:numFmt w:val="lowerRoman"/>
        <w:lvlText w:val="(%6)"/>
        <w:lvlJc w:val="left"/>
        <w:pPr>
          <w:ind w:left="2880" w:hanging="360"/>
        </w:pPr>
        <w:rPr>
          <w:rFonts w:hint="default"/>
        </w:rPr>
      </w:lvl>
    </w:lvlOverride>
    <w:lvlOverride w:ilvl="6">
      <w:lvl w:ilvl="6">
        <w:start w:val="1"/>
        <w:numFmt w:val="decimal"/>
        <w:lvlText w:val="%7."/>
        <w:lvlJc w:val="left"/>
        <w:pPr>
          <w:ind w:left="3240" w:hanging="360"/>
        </w:pPr>
        <w:rPr>
          <w:rFonts w:hint="default"/>
        </w:rPr>
      </w:lvl>
    </w:lvlOverride>
    <w:lvlOverride w:ilvl="7">
      <w:lvl w:ilvl="7">
        <w:start w:val="1"/>
        <w:numFmt w:val="lowerLetter"/>
        <w:lvlText w:val="%8."/>
        <w:lvlJc w:val="left"/>
        <w:pPr>
          <w:ind w:left="3600" w:hanging="360"/>
        </w:pPr>
        <w:rPr>
          <w:rFonts w:hint="default"/>
        </w:rPr>
      </w:lvl>
    </w:lvlOverride>
    <w:lvlOverride w:ilvl="8">
      <w:lvl w:ilvl="8">
        <w:start w:val="1"/>
        <w:numFmt w:val="lowerRoman"/>
        <w:lvlText w:val="%9."/>
        <w:lvlJc w:val="left"/>
        <w:pPr>
          <w:ind w:left="3960" w:hanging="360"/>
        </w:pPr>
        <w:rPr>
          <w:rFonts w:hint="default"/>
        </w:rPr>
      </w:lvl>
    </w:lvlOverride>
  </w:num>
  <w:num w:numId="40">
    <w:abstractNumId w:val="17"/>
  </w:num>
  <w:num w:numId="41">
    <w:abstractNumId w:val="15"/>
  </w:num>
  <w:num w:numId="42">
    <w:abstractNumId w:val="23"/>
    <w:lvlOverride w:ilvl="0">
      <w:lvl w:ilvl="0">
        <w:start w:val="1"/>
        <w:numFmt w:val="decimal"/>
        <w:pStyle w:val="Heading2"/>
        <w:lvlText w:val="%1."/>
        <w:lvlJc w:val="left"/>
        <w:pPr>
          <w:ind w:left="1080" w:hanging="360"/>
        </w:pPr>
        <w:rPr>
          <w:rFonts w:hint="default"/>
        </w:rPr>
      </w:lvl>
    </w:lvlOverride>
    <w:lvlOverride w:ilvl="1">
      <w:lvl w:ilvl="1">
        <w:start w:val="1"/>
        <w:numFmt w:val="decimal"/>
        <w:pStyle w:val="Heading3"/>
        <w:lvlText w:val="%1.%2"/>
        <w:lvlJc w:val="left"/>
        <w:pPr>
          <w:ind w:left="144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lowerRoman"/>
        <w:lvlText w:val="%3)"/>
        <w:lvlJc w:val="left"/>
        <w:pPr>
          <w:ind w:left="1800" w:hanging="360"/>
        </w:pPr>
        <w:rPr>
          <w:rFonts w:hint="default"/>
        </w:rPr>
      </w:lvl>
    </w:lvlOverride>
    <w:lvlOverride w:ilvl="3">
      <w:lvl w:ilvl="3">
        <w:start w:val="1"/>
        <w:numFmt w:val="decimal"/>
        <w:lvlText w:val="(%4)"/>
        <w:lvlJc w:val="left"/>
        <w:pPr>
          <w:ind w:left="2160" w:hanging="360"/>
        </w:pPr>
        <w:rPr>
          <w:rFonts w:hint="default"/>
        </w:rPr>
      </w:lvl>
    </w:lvlOverride>
    <w:lvlOverride w:ilvl="4">
      <w:lvl w:ilvl="4">
        <w:start w:val="1"/>
        <w:numFmt w:val="lowerLetter"/>
        <w:lvlText w:val="(%5)"/>
        <w:lvlJc w:val="left"/>
        <w:pPr>
          <w:ind w:left="2520" w:hanging="360"/>
        </w:pPr>
        <w:rPr>
          <w:rFonts w:hint="default"/>
        </w:rPr>
      </w:lvl>
    </w:lvlOverride>
    <w:lvlOverride w:ilvl="5">
      <w:lvl w:ilvl="5">
        <w:start w:val="1"/>
        <w:numFmt w:val="lowerRoman"/>
        <w:lvlText w:val="(%6)"/>
        <w:lvlJc w:val="left"/>
        <w:pPr>
          <w:ind w:left="2880" w:hanging="360"/>
        </w:pPr>
        <w:rPr>
          <w:rFonts w:hint="default"/>
        </w:rPr>
      </w:lvl>
    </w:lvlOverride>
    <w:lvlOverride w:ilvl="6">
      <w:lvl w:ilvl="6">
        <w:start w:val="1"/>
        <w:numFmt w:val="decimal"/>
        <w:lvlText w:val="%7."/>
        <w:lvlJc w:val="left"/>
        <w:pPr>
          <w:ind w:left="3240" w:hanging="360"/>
        </w:pPr>
        <w:rPr>
          <w:rFonts w:hint="default"/>
        </w:rPr>
      </w:lvl>
    </w:lvlOverride>
    <w:lvlOverride w:ilvl="7">
      <w:lvl w:ilvl="7">
        <w:start w:val="1"/>
        <w:numFmt w:val="lowerLetter"/>
        <w:lvlText w:val="%8."/>
        <w:lvlJc w:val="left"/>
        <w:pPr>
          <w:ind w:left="3600" w:hanging="360"/>
        </w:pPr>
        <w:rPr>
          <w:rFonts w:hint="default"/>
        </w:rPr>
      </w:lvl>
    </w:lvlOverride>
    <w:lvlOverride w:ilvl="8">
      <w:lvl w:ilvl="8">
        <w:start w:val="1"/>
        <w:numFmt w:val="lowerRoman"/>
        <w:lvlText w:val="%9."/>
        <w:lvlJc w:val="left"/>
        <w:pPr>
          <w:ind w:left="3960" w:hanging="360"/>
        </w:pPr>
        <w:rPr>
          <w:rFonts w:hint="default"/>
        </w:rPr>
      </w:lvl>
    </w:lvlOverride>
  </w:num>
  <w:num w:numId="43">
    <w:abstractNumId w:val="23"/>
    <w:lvlOverride w:ilvl="0">
      <w:lvl w:ilvl="0">
        <w:start w:val="1"/>
        <w:numFmt w:val="decimal"/>
        <w:pStyle w:val="Heading2"/>
        <w:lvlText w:val="%1."/>
        <w:lvlJc w:val="left"/>
        <w:pPr>
          <w:ind w:left="1080" w:hanging="360"/>
        </w:pPr>
        <w:rPr>
          <w:rFonts w:hint="default"/>
        </w:rPr>
      </w:lvl>
    </w:lvlOverride>
    <w:lvlOverride w:ilvl="1">
      <w:lvl w:ilvl="1">
        <w:start w:val="1"/>
        <w:numFmt w:val="decimal"/>
        <w:pStyle w:val="Heading3"/>
        <w:lvlText w:val="%1.%2"/>
        <w:lvlJc w:val="left"/>
        <w:pPr>
          <w:ind w:left="144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lowerRoman"/>
        <w:lvlText w:val="%3)"/>
        <w:lvlJc w:val="left"/>
        <w:pPr>
          <w:ind w:left="1800" w:hanging="360"/>
        </w:pPr>
        <w:rPr>
          <w:rFonts w:hint="default"/>
        </w:rPr>
      </w:lvl>
    </w:lvlOverride>
    <w:lvlOverride w:ilvl="3">
      <w:lvl w:ilvl="3">
        <w:start w:val="1"/>
        <w:numFmt w:val="decimal"/>
        <w:lvlText w:val="(%4)"/>
        <w:lvlJc w:val="left"/>
        <w:pPr>
          <w:ind w:left="2160" w:hanging="360"/>
        </w:pPr>
        <w:rPr>
          <w:rFonts w:hint="default"/>
        </w:rPr>
      </w:lvl>
    </w:lvlOverride>
    <w:lvlOverride w:ilvl="4">
      <w:lvl w:ilvl="4">
        <w:start w:val="1"/>
        <w:numFmt w:val="lowerLetter"/>
        <w:lvlText w:val="(%5)"/>
        <w:lvlJc w:val="left"/>
        <w:pPr>
          <w:ind w:left="2520" w:hanging="360"/>
        </w:pPr>
        <w:rPr>
          <w:rFonts w:hint="default"/>
        </w:rPr>
      </w:lvl>
    </w:lvlOverride>
    <w:lvlOverride w:ilvl="5">
      <w:lvl w:ilvl="5">
        <w:start w:val="1"/>
        <w:numFmt w:val="lowerRoman"/>
        <w:lvlText w:val="(%6)"/>
        <w:lvlJc w:val="left"/>
        <w:pPr>
          <w:ind w:left="2880" w:hanging="360"/>
        </w:pPr>
        <w:rPr>
          <w:rFonts w:hint="default"/>
        </w:rPr>
      </w:lvl>
    </w:lvlOverride>
    <w:lvlOverride w:ilvl="6">
      <w:lvl w:ilvl="6">
        <w:start w:val="1"/>
        <w:numFmt w:val="decimal"/>
        <w:lvlText w:val="%7."/>
        <w:lvlJc w:val="left"/>
        <w:pPr>
          <w:ind w:left="3240" w:hanging="360"/>
        </w:pPr>
        <w:rPr>
          <w:rFonts w:hint="default"/>
        </w:rPr>
      </w:lvl>
    </w:lvlOverride>
    <w:lvlOverride w:ilvl="7">
      <w:lvl w:ilvl="7">
        <w:start w:val="1"/>
        <w:numFmt w:val="lowerLetter"/>
        <w:lvlText w:val="%8."/>
        <w:lvlJc w:val="left"/>
        <w:pPr>
          <w:ind w:left="3600" w:hanging="360"/>
        </w:pPr>
        <w:rPr>
          <w:rFonts w:hint="default"/>
        </w:rPr>
      </w:lvl>
    </w:lvlOverride>
    <w:lvlOverride w:ilvl="8">
      <w:lvl w:ilvl="8">
        <w:start w:val="1"/>
        <w:numFmt w:val="lowerRoman"/>
        <w:lvlText w:val="%9."/>
        <w:lvlJc w:val="left"/>
        <w:pPr>
          <w:ind w:left="3960" w:hanging="360"/>
        </w:pPr>
        <w:rPr>
          <w:rFonts w:hint="default"/>
        </w:rPr>
      </w:lvl>
    </w:lvlOverride>
  </w:num>
  <w:num w:numId="44">
    <w:abstractNumId w:val="37"/>
  </w:num>
  <w:num w:numId="45">
    <w:abstractNumId w:val="23"/>
    <w:lvlOverride w:ilvl="0">
      <w:lvl w:ilvl="0">
        <w:start w:val="1"/>
        <w:numFmt w:val="decimal"/>
        <w:pStyle w:val="Heading2"/>
        <w:lvlText w:val="%1."/>
        <w:lvlJc w:val="left"/>
        <w:pPr>
          <w:ind w:left="1080" w:hanging="360"/>
        </w:pPr>
        <w:rPr>
          <w:rFonts w:hint="default"/>
        </w:rPr>
      </w:lvl>
    </w:lvlOverride>
    <w:lvlOverride w:ilvl="1">
      <w:lvl w:ilvl="1">
        <w:start w:val="1"/>
        <w:numFmt w:val="decimal"/>
        <w:pStyle w:val="Heading3"/>
        <w:lvlText w:val="%1.%2"/>
        <w:lvlJc w:val="left"/>
        <w:pPr>
          <w:ind w:left="144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lowerRoman"/>
        <w:lvlText w:val="%3)"/>
        <w:lvlJc w:val="left"/>
        <w:pPr>
          <w:ind w:left="1800" w:hanging="360"/>
        </w:pPr>
        <w:rPr>
          <w:rFonts w:hint="default"/>
        </w:rPr>
      </w:lvl>
    </w:lvlOverride>
    <w:lvlOverride w:ilvl="3">
      <w:lvl w:ilvl="3">
        <w:start w:val="1"/>
        <w:numFmt w:val="decimal"/>
        <w:lvlText w:val="(%4)"/>
        <w:lvlJc w:val="left"/>
        <w:pPr>
          <w:ind w:left="2160" w:hanging="360"/>
        </w:pPr>
        <w:rPr>
          <w:rFonts w:hint="default"/>
        </w:rPr>
      </w:lvl>
    </w:lvlOverride>
    <w:lvlOverride w:ilvl="4">
      <w:lvl w:ilvl="4">
        <w:start w:val="1"/>
        <w:numFmt w:val="lowerLetter"/>
        <w:lvlText w:val="(%5)"/>
        <w:lvlJc w:val="left"/>
        <w:pPr>
          <w:ind w:left="2520" w:hanging="360"/>
        </w:pPr>
        <w:rPr>
          <w:rFonts w:hint="default"/>
        </w:rPr>
      </w:lvl>
    </w:lvlOverride>
    <w:lvlOverride w:ilvl="5">
      <w:lvl w:ilvl="5">
        <w:start w:val="1"/>
        <w:numFmt w:val="lowerRoman"/>
        <w:lvlText w:val="(%6)"/>
        <w:lvlJc w:val="left"/>
        <w:pPr>
          <w:ind w:left="2880" w:hanging="360"/>
        </w:pPr>
        <w:rPr>
          <w:rFonts w:hint="default"/>
        </w:rPr>
      </w:lvl>
    </w:lvlOverride>
    <w:lvlOverride w:ilvl="6">
      <w:lvl w:ilvl="6">
        <w:start w:val="1"/>
        <w:numFmt w:val="decimal"/>
        <w:lvlText w:val="%7."/>
        <w:lvlJc w:val="left"/>
        <w:pPr>
          <w:ind w:left="3240" w:hanging="360"/>
        </w:pPr>
        <w:rPr>
          <w:rFonts w:hint="default"/>
        </w:rPr>
      </w:lvl>
    </w:lvlOverride>
    <w:lvlOverride w:ilvl="7">
      <w:lvl w:ilvl="7">
        <w:start w:val="1"/>
        <w:numFmt w:val="lowerLetter"/>
        <w:lvlText w:val="%8."/>
        <w:lvlJc w:val="left"/>
        <w:pPr>
          <w:ind w:left="3600" w:hanging="360"/>
        </w:pPr>
        <w:rPr>
          <w:rFonts w:hint="default"/>
        </w:rPr>
      </w:lvl>
    </w:lvlOverride>
    <w:lvlOverride w:ilvl="8">
      <w:lvl w:ilvl="8">
        <w:start w:val="1"/>
        <w:numFmt w:val="lowerRoman"/>
        <w:lvlText w:val="%9."/>
        <w:lvlJc w:val="left"/>
        <w:pPr>
          <w:ind w:left="3960" w:hanging="360"/>
        </w:pPr>
        <w:rPr>
          <w:rFonts w:hint="default"/>
        </w:rPr>
      </w:lvl>
    </w:lvlOverride>
  </w:num>
  <w:num w:numId="46">
    <w:abstractNumId w:val="6"/>
  </w:num>
  <w:num w:numId="47">
    <w:abstractNumId w:val="0"/>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25D"/>
    <w:rsid w:val="00085D67"/>
    <w:rsid w:val="000A33A1"/>
    <w:rsid w:val="000A3F9D"/>
    <w:rsid w:val="000C6FDA"/>
    <w:rsid w:val="000C70EE"/>
    <w:rsid w:val="00107243"/>
    <w:rsid w:val="00155FA4"/>
    <w:rsid w:val="00186835"/>
    <w:rsid w:val="00194FF6"/>
    <w:rsid w:val="001E0671"/>
    <w:rsid w:val="001F1880"/>
    <w:rsid w:val="001F5C62"/>
    <w:rsid w:val="00215D19"/>
    <w:rsid w:val="002208F6"/>
    <w:rsid w:val="00226C98"/>
    <w:rsid w:val="00236D86"/>
    <w:rsid w:val="00247224"/>
    <w:rsid w:val="00252A9C"/>
    <w:rsid w:val="00281F0F"/>
    <w:rsid w:val="002E7D00"/>
    <w:rsid w:val="002F2015"/>
    <w:rsid w:val="0031359D"/>
    <w:rsid w:val="00342C72"/>
    <w:rsid w:val="00386715"/>
    <w:rsid w:val="003956B1"/>
    <w:rsid w:val="00397A31"/>
    <w:rsid w:val="003B57A1"/>
    <w:rsid w:val="003B6D1D"/>
    <w:rsid w:val="003D455F"/>
    <w:rsid w:val="003D480E"/>
    <w:rsid w:val="003D5232"/>
    <w:rsid w:val="003D5845"/>
    <w:rsid w:val="003E64C3"/>
    <w:rsid w:val="0041044F"/>
    <w:rsid w:val="00412780"/>
    <w:rsid w:val="00431DB3"/>
    <w:rsid w:val="00446833"/>
    <w:rsid w:val="004649E9"/>
    <w:rsid w:val="00486603"/>
    <w:rsid w:val="0049710E"/>
    <w:rsid w:val="004A4B24"/>
    <w:rsid w:val="004B2A08"/>
    <w:rsid w:val="004B7FBA"/>
    <w:rsid w:val="004F1D10"/>
    <w:rsid w:val="00547C5A"/>
    <w:rsid w:val="005520AD"/>
    <w:rsid w:val="00557429"/>
    <w:rsid w:val="00563B9A"/>
    <w:rsid w:val="00563C08"/>
    <w:rsid w:val="00581892"/>
    <w:rsid w:val="005910F1"/>
    <w:rsid w:val="005B4042"/>
    <w:rsid w:val="005C02B4"/>
    <w:rsid w:val="005D2124"/>
    <w:rsid w:val="005D7FBC"/>
    <w:rsid w:val="00601DC3"/>
    <w:rsid w:val="00613762"/>
    <w:rsid w:val="006729AB"/>
    <w:rsid w:val="0067782C"/>
    <w:rsid w:val="006E3DC4"/>
    <w:rsid w:val="006E576F"/>
    <w:rsid w:val="00740BC5"/>
    <w:rsid w:val="0076011A"/>
    <w:rsid w:val="00777848"/>
    <w:rsid w:val="007E0C13"/>
    <w:rsid w:val="00802525"/>
    <w:rsid w:val="0083042E"/>
    <w:rsid w:val="00830D96"/>
    <w:rsid w:val="00874A5C"/>
    <w:rsid w:val="00876B53"/>
    <w:rsid w:val="00890DDB"/>
    <w:rsid w:val="008E680C"/>
    <w:rsid w:val="00902E7C"/>
    <w:rsid w:val="00940D80"/>
    <w:rsid w:val="00990389"/>
    <w:rsid w:val="009A1C66"/>
    <w:rsid w:val="009F0715"/>
    <w:rsid w:val="00A225DE"/>
    <w:rsid w:val="00A712DF"/>
    <w:rsid w:val="00A84A50"/>
    <w:rsid w:val="00AB7628"/>
    <w:rsid w:val="00AE3BC9"/>
    <w:rsid w:val="00AE6957"/>
    <w:rsid w:val="00AF03EF"/>
    <w:rsid w:val="00B20874"/>
    <w:rsid w:val="00B60228"/>
    <w:rsid w:val="00B75DDB"/>
    <w:rsid w:val="00BB571B"/>
    <w:rsid w:val="00BC67F2"/>
    <w:rsid w:val="00C1525D"/>
    <w:rsid w:val="00C40C93"/>
    <w:rsid w:val="00C41452"/>
    <w:rsid w:val="00C43401"/>
    <w:rsid w:val="00C858E4"/>
    <w:rsid w:val="00CB131B"/>
    <w:rsid w:val="00CD2730"/>
    <w:rsid w:val="00CD5037"/>
    <w:rsid w:val="00CD6F6D"/>
    <w:rsid w:val="00CF25F8"/>
    <w:rsid w:val="00D00C26"/>
    <w:rsid w:val="00D559C4"/>
    <w:rsid w:val="00D95CBE"/>
    <w:rsid w:val="00DA6E6C"/>
    <w:rsid w:val="00E13F6B"/>
    <w:rsid w:val="00E30BD8"/>
    <w:rsid w:val="00E763E3"/>
    <w:rsid w:val="00E930F8"/>
    <w:rsid w:val="00EA3CA2"/>
    <w:rsid w:val="00EE2090"/>
    <w:rsid w:val="00EE2978"/>
    <w:rsid w:val="00F358DE"/>
    <w:rsid w:val="00F37076"/>
    <w:rsid w:val="00F610FB"/>
    <w:rsid w:val="00FA62CE"/>
    <w:rsid w:val="00FB7426"/>
    <w:rsid w:val="00FE59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B2A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7C5A"/>
    <w:pPr>
      <w:keepNext/>
      <w:keepLines/>
      <w:numPr>
        <w:numId w:val="1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520AD"/>
    <w:pPr>
      <w:keepNext/>
      <w:keepLines/>
      <w:numPr>
        <w:ilvl w:val="1"/>
        <w:numId w:val="16"/>
      </w:numPr>
      <w:spacing w:before="40" w:after="0"/>
      <w:ind w:left="357" w:hanging="357"/>
      <w:outlineLvl w:val="2"/>
    </w:pPr>
    <w:rPr>
      <w:rFonts w:asciiTheme="majorHAnsi" w:eastAsiaTheme="majorEastAsia" w:hAnsiTheme="majorHAnsi" w:cstheme="majorBidi"/>
      <w:b/>
      <w:color w:val="243F60" w:themeColor="accent1" w:themeShade="7F"/>
      <w:sz w:val="24"/>
      <w:szCs w:val="24"/>
    </w:rPr>
  </w:style>
  <w:style w:type="paragraph" w:styleId="Heading4">
    <w:name w:val="heading 4"/>
    <w:basedOn w:val="Normal"/>
    <w:next w:val="Normal"/>
    <w:link w:val="Heading4Char"/>
    <w:uiPriority w:val="9"/>
    <w:unhideWhenUsed/>
    <w:qFormat/>
    <w:rsid w:val="004B2A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7C5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B57A1"/>
    <w:pPr>
      <w:ind w:left="720"/>
      <w:contextualSpacing/>
    </w:pPr>
  </w:style>
  <w:style w:type="character" w:styleId="Hyperlink">
    <w:name w:val="Hyperlink"/>
    <w:basedOn w:val="DefaultParagraphFont"/>
    <w:uiPriority w:val="99"/>
    <w:unhideWhenUsed/>
    <w:rsid w:val="00397A31"/>
    <w:rPr>
      <w:color w:val="0000FF" w:themeColor="hyperlink"/>
      <w:u w:val="single"/>
    </w:rPr>
  </w:style>
  <w:style w:type="character" w:customStyle="1" w:styleId="Heading3Char">
    <w:name w:val="Heading 3 Char"/>
    <w:basedOn w:val="DefaultParagraphFont"/>
    <w:link w:val="Heading3"/>
    <w:uiPriority w:val="9"/>
    <w:rsid w:val="005520AD"/>
    <w:rPr>
      <w:rFonts w:asciiTheme="majorHAnsi" w:eastAsiaTheme="majorEastAsia" w:hAnsiTheme="majorHAnsi" w:cstheme="majorBidi"/>
      <w:b/>
      <w:color w:val="243F60" w:themeColor="accent1" w:themeShade="7F"/>
      <w:sz w:val="24"/>
      <w:szCs w:val="24"/>
    </w:rPr>
  </w:style>
  <w:style w:type="numbering" w:customStyle="1" w:styleId="CaseNumberMB1">
    <w:name w:val="Case Number MB1"/>
    <w:uiPriority w:val="99"/>
    <w:rsid w:val="00547C5A"/>
    <w:pPr>
      <w:numPr>
        <w:numId w:val="4"/>
      </w:numPr>
    </w:pPr>
  </w:style>
  <w:style w:type="character" w:customStyle="1" w:styleId="Heading1Char">
    <w:name w:val="Heading 1 Char"/>
    <w:basedOn w:val="DefaultParagraphFont"/>
    <w:link w:val="Heading1"/>
    <w:uiPriority w:val="9"/>
    <w:rsid w:val="004B2A08"/>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4B2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2A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A08"/>
    <w:rPr>
      <w:rFonts w:ascii="Tahoma" w:hAnsi="Tahoma" w:cs="Tahoma"/>
      <w:sz w:val="16"/>
      <w:szCs w:val="16"/>
    </w:rPr>
  </w:style>
  <w:style w:type="numbering" w:customStyle="1" w:styleId="Style1">
    <w:name w:val="Style1"/>
    <w:uiPriority w:val="99"/>
    <w:rsid w:val="004B2A08"/>
    <w:pPr>
      <w:numPr>
        <w:numId w:val="13"/>
      </w:numPr>
    </w:pPr>
  </w:style>
  <w:style w:type="character" w:customStyle="1" w:styleId="Heading4Char">
    <w:name w:val="Heading 4 Char"/>
    <w:basedOn w:val="DefaultParagraphFont"/>
    <w:link w:val="Heading4"/>
    <w:uiPriority w:val="9"/>
    <w:rsid w:val="004B2A08"/>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AE3BC9"/>
    <w:rPr>
      <w:color w:val="800080" w:themeColor="followedHyperlink"/>
      <w:u w:val="single"/>
    </w:rPr>
  </w:style>
  <w:style w:type="table" w:styleId="LightShading-Accent1">
    <w:name w:val="Light Shading Accent 1"/>
    <w:basedOn w:val="TableNormal"/>
    <w:uiPriority w:val="60"/>
    <w:rsid w:val="00FB742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D95CB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95CBE"/>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342C72"/>
    <w:rPr>
      <w:sz w:val="16"/>
      <w:szCs w:val="16"/>
    </w:rPr>
  </w:style>
  <w:style w:type="paragraph" w:styleId="CommentText">
    <w:name w:val="annotation text"/>
    <w:basedOn w:val="Normal"/>
    <w:link w:val="CommentTextChar"/>
    <w:uiPriority w:val="99"/>
    <w:semiHidden/>
    <w:unhideWhenUsed/>
    <w:rsid w:val="00342C72"/>
    <w:pPr>
      <w:spacing w:line="240" w:lineRule="auto"/>
    </w:pPr>
    <w:rPr>
      <w:sz w:val="20"/>
      <w:szCs w:val="20"/>
    </w:rPr>
  </w:style>
  <w:style w:type="character" w:customStyle="1" w:styleId="CommentTextChar">
    <w:name w:val="Comment Text Char"/>
    <w:basedOn w:val="DefaultParagraphFont"/>
    <w:link w:val="CommentText"/>
    <w:uiPriority w:val="99"/>
    <w:semiHidden/>
    <w:rsid w:val="00342C72"/>
    <w:rPr>
      <w:sz w:val="20"/>
      <w:szCs w:val="20"/>
    </w:rPr>
  </w:style>
  <w:style w:type="paragraph" w:styleId="CommentSubject">
    <w:name w:val="annotation subject"/>
    <w:basedOn w:val="CommentText"/>
    <w:next w:val="CommentText"/>
    <w:link w:val="CommentSubjectChar"/>
    <w:uiPriority w:val="99"/>
    <w:semiHidden/>
    <w:unhideWhenUsed/>
    <w:rsid w:val="00342C72"/>
    <w:rPr>
      <w:b/>
      <w:bCs/>
    </w:rPr>
  </w:style>
  <w:style w:type="character" w:customStyle="1" w:styleId="CommentSubjectChar">
    <w:name w:val="Comment Subject Char"/>
    <w:basedOn w:val="CommentTextChar"/>
    <w:link w:val="CommentSubject"/>
    <w:uiPriority w:val="99"/>
    <w:semiHidden/>
    <w:rsid w:val="00342C7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B2A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7C5A"/>
    <w:pPr>
      <w:keepNext/>
      <w:keepLines/>
      <w:numPr>
        <w:numId w:val="1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520AD"/>
    <w:pPr>
      <w:keepNext/>
      <w:keepLines/>
      <w:numPr>
        <w:ilvl w:val="1"/>
        <w:numId w:val="16"/>
      </w:numPr>
      <w:spacing w:before="40" w:after="0"/>
      <w:ind w:left="357" w:hanging="357"/>
      <w:outlineLvl w:val="2"/>
    </w:pPr>
    <w:rPr>
      <w:rFonts w:asciiTheme="majorHAnsi" w:eastAsiaTheme="majorEastAsia" w:hAnsiTheme="majorHAnsi" w:cstheme="majorBidi"/>
      <w:b/>
      <w:color w:val="243F60" w:themeColor="accent1" w:themeShade="7F"/>
      <w:sz w:val="24"/>
      <w:szCs w:val="24"/>
    </w:rPr>
  </w:style>
  <w:style w:type="paragraph" w:styleId="Heading4">
    <w:name w:val="heading 4"/>
    <w:basedOn w:val="Normal"/>
    <w:next w:val="Normal"/>
    <w:link w:val="Heading4Char"/>
    <w:uiPriority w:val="9"/>
    <w:unhideWhenUsed/>
    <w:qFormat/>
    <w:rsid w:val="004B2A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7C5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B57A1"/>
    <w:pPr>
      <w:ind w:left="720"/>
      <w:contextualSpacing/>
    </w:pPr>
  </w:style>
  <w:style w:type="character" w:styleId="Hyperlink">
    <w:name w:val="Hyperlink"/>
    <w:basedOn w:val="DefaultParagraphFont"/>
    <w:uiPriority w:val="99"/>
    <w:unhideWhenUsed/>
    <w:rsid w:val="00397A31"/>
    <w:rPr>
      <w:color w:val="0000FF" w:themeColor="hyperlink"/>
      <w:u w:val="single"/>
    </w:rPr>
  </w:style>
  <w:style w:type="character" w:customStyle="1" w:styleId="Heading3Char">
    <w:name w:val="Heading 3 Char"/>
    <w:basedOn w:val="DefaultParagraphFont"/>
    <w:link w:val="Heading3"/>
    <w:uiPriority w:val="9"/>
    <w:rsid w:val="005520AD"/>
    <w:rPr>
      <w:rFonts w:asciiTheme="majorHAnsi" w:eastAsiaTheme="majorEastAsia" w:hAnsiTheme="majorHAnsi" w:cstheme="majorBidi"/>
      <w:b/>
      <w:color w:val="243F60" w:themeColor="accent1" w:themeShade="7F"/>
      <w:sz w:val="24"/>
      <w:szCs w:val="24"/>
    </w:rPr>
  </w:style>
  <w:style w:type="numbering" w:customStyle="1" w:styleId="CaseNumberMB1">
    <w:name w:val="Case Number MB1"/>
    <w:uiPriority w:val="99"/>
    <w:rsid w:val="00547C5A"/>
    <w:pPr>
      <w:numPr>
        <w:numId w:val="4"/>
      </w:numPr>
    </w:pPr>
  </w:style>
  <w:style w:type="character" w:customStyle="1" w:styleId="Heading1Char">
    <w:name w:val="Heading 1 Char"/>
    <w:basedOn w:val="DefaultParagraphFont"/>
    <w:link w:val="Heading1"/>
    <w:uiPriority w:val="9"/>
    <w:rsid w:val="004B2A08"/>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4B2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2A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A08"/>
    <w:rPr>
      <w:rFonts w:ascii="Tahoma" w:hAnsi="Tahoma" w:cs="Tahoma"/>
      <w:sz w:val="16"/>
      <w:szCs w:val="16"/>
    </w:rPr>
  </w:style>
  <w:style w:type="numbering" w:customStyle="1" w:styleId="Style1">
    <w:name w:val="Style1"/>
    <w:uiPriority w:val="99"/>
    <w:rsid w:val="004B2A08"/>
    <w:pPr>
      <w:numPr>
        <w:numId w:val="13"/>
      </w:numPr>
    </w:pPr>
  </w:style>
  <w:style w:type="character" w:customStyle="1" w:styleId="Heading4Char">
    <w:name w:val="Heading 4 Char"/>
    <w:basedOn w:val="DefaultParagraphFont"/>
    <w:link w:val="Heading4"/>
    <w:uiPriority w:val="9"/>
    <w:rsid w:val="004B2A08"/>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AE3BC9"/>
    <w:rPr>
      <w:color w:val="800080" w:themeColor="followedHyperlink"/>
      <w:u w:val="single"/>
    </w:rPr>
  </w:style>
  <w:style w:type="table" w:styleId="LightShading-Accent1">
    <w:name w:val="Light Shading Accent 1"/>
    <w:basedOn w:val="TableNormal"/>
    <w:uiPriority w:val="60"/>
    <w:rsid w:val="00FB742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D95CB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95CBE"/>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342C72"/>
    <w:rPr>
      <w:sz w:val="16"/>
      <w:szCs w:val="16"/>
    </w:rPr>
  </w:style>
  <w:style w:type="paragraph" w:styleId="CommentText">
    <w:name w:val="annotation text"/>
    <w:basedOn w:val="Normal"/>
    <w:link w:val="CommentTextChar"/>
    <w:uiPriority w:val="99"/>
    <w:semiHidden/>
    <w:unhideWhenUsed/>
    <w:rsid w:val="00342C72"/>
    <w:pPr>
      <w:spacing w:line="240" w:lineRule="auto"/>
    </w:pPr>
    <w:rPr>
      <w:sz w:val="20"/>
      <w:szCs w:val="20"/>
    </w:rPr>
  </w:style>
  <w:style w:type="character" w:customStyle="1" w:styleId="CommentTextChar">
    <w:name w:val="Comment Text Char"/>
    <w:basedOn w:val="DefaultParagraphFont"/>
    <w:link w:val="CommentText"/>
    <w:uiPriority w:val="99"/>
    <w:semiHidden/>
    <w:rsid w:val="00342C72"/>
    <w:rPr>
      <w:sz w:val="20"/>
      <w:szCs w:val="20"/>
    </w:rPr>
  </w:style>
  <w:style w:type="paragraph" w:styleId="CommentSubject">
    <w:name w:val="annotation subject"/>
    <w:basedOn w:val="CommentText"/>
    <w:next w:val="CommentText"/>
    <w:link w:val="CommentSubjectChar"/>
    <w:uiPriority w:val="99"/>
    <w:semiHidden/>
    <w:unhideWhenUsed/>
    <w:rsid w:val="00342C72"/>
    <w:rPr>
      <w:b/>
      <w:bCs/>
    </w:rPr>
  </w:style>
  <w:style w:type="character" w:customStyle="1" w:styleId="CommentSubjectChar">
    <w:name w:val="Comment Subject Char"/>
    <w:basedOn w:val="CommentTextChar"/>
    <w:link w:val="CommentSubject"/>
    <w:uiPriority w:val="99"/>
    <w:semiHidden/>
    <w:rsid w:val="00342C7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10054">
      <w:bodyDiv w:val="1"/>
      <w:marLeft w:val="0"/>
      <w:marRight w:val="0"/>
      <w:marTop w:val="0"/>
      <w:marBottom w:val="0"/>
      <w:divBdr>
        <w:top w:val="none" w:sz="0" w:space="0" w:color="auto"/>
        <w:left w:val="none" w:sz="0" w:space="0" w:color="auto"/>
        <w:bottom w:val="none" w:sz="0" w:space="0" w:color="auto"/>
        <w:right w:val="none" w:sz="0" w:space="0" w:color="auto"/>
      </w:divBdr>
    </w:div>
    <w:div w:id="304743753">
      <w:bodyDiv w:val="1"/>
      <w:marLeft w:val="0"/>
      <w:marRight w:val="0"/>
      <w:marTop w:val="0"/>
      <w:marBottom w:val="0"/>
      <w:divBdr>
        <w:top w:val="none" w:sz="0" w:space="0" w:color="auto"/>
        <w:left w:val="none" w:sz="0" w:space="0" w:color="auto"/>
        <w:bottom w:val="none" w:sz="0" w:space="0" w:color="auto"/>
        <w:right w:val="none" w:sz="0" w:space="0" w:color="auto"/>
      </w:divBdr>
    </w:div>
    <w:div w:id="332412038">
      <w:bodyDiv w:val="1"/>
      <w:marLeft w:val="0"/>
      <w:marRight w:val="0"/>
      <w:marTop w:val="0"/>
      <w:marBottom w:val="0"/>
      <w:divBdr>
        <w:top w:val="none" w:sz="0" w:space="0" w:color="auto"/>
        <w:left w:val="none" w:sz="0" w:space="0" w:color="auto"/>
        <w:bottom w:val="none" w:sz="0" w:space="0" w:color="auto"/>
        <w:right w:val="none" w:sz="0" w:space="0" w:color="auto"/>
      </w:divBdr>
    </w:div>
    <w:div w:id="977757924">
      <w:bodyDiv w:val="1"/>
      <w:marLeft w:val="0"/>
      <w:marRight w:val="0"/>
      <w:marTop w:val="0"/>
      <w:marBottom w:val="0"/>
      <w:divBdr>
        <w:top w:val="none" w:sz="0" w:space="0" w:color="auto"/>
        <w:left w:val="none" w:sz="0" w:space="0" w:color="auto"/>
        <w:bottom w:val="none" w:sz="0" w:space="0" w:color="auto"/>
        <w:right w:val="none" w:sz="0" w:space="0" w:color="auto"/>
      </w:divBdr>
    </w:div>
    <w:div w:id="139080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unece.org/stat/platform/display/MCOPM/MMM+Request" TargetMode="External"/><Relationship Id="rId3" Type="http://schemas.openxmlformats.org/officeDocument/2006/relationships/styles" Target="styles.xml"/><Relationship Id="rId7" Type="http://schemas.openxmlformats.org/officeDocument/2006/relationships/hyperlink" Target="http://www.opengroup.org/soa/source-book/osimmv2/intro.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6DA88EE4-8EEA-4548-B54E-1935DB662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946</Words>
  <Characters>5395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ABS</Company>
  <LinksUpToDate>false</LinksUpToDate>
  <CharactersWithSpaces>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 Hamilton</dc:creator>
  <cp:lastModifiedBy>Gavin M Lee</cp:lastModifiedBy>
  <cp:revision>3</cp:revision>
  <cp:lastPrinted>2015-09-29T22:13:00Z</cp:lastPrinted>
  <dcterms:created xsi:type="dcterms:W3CDTF">2015-09-29T23:11:00Z</dcterms:created>
  <dcterms:modified xsi:type="dcterms:W3CDTF">2015-09-29T23:28:00Z</dcterms:modified>
</cp:coreProperties>
</file>