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9719"/>
      </w:tblGrid>
      <w:tr w:rsidR="009C6717" w:rsidRPr="003611CA" w14:paraId="1056A0FD" w14:textId="77777777" w:rsidTr="00D611DE">
        <w:tc>
          <w:tcPr>
            <w:tcW w:w="9719" w:type="dxa"/>
            <w:shd w:val="clear" w:color="auto" w:fill="auto"/>
            <w:vAlign w:val="center"/>
          </w:tcPr>
          <w:p w14:paraId="1056A0F9" w14:textId="77777777" w:rsidR="009C6717" w:rsidRDefault="009C6717" w:rsidP="009C6717">
            <w:pPr>
              <w:tabs>
                <w:tab w:val="center" w:pos="6946"/>
                <w:tab w:val="right" w:pos="13892"/>
              </w:tabs>
              <w:spacing w:after="0"/>
              <w:jc w:val="center"/>
              <w:rPr>
                <w:b/>
                <w:smallCaps/>
                <w:sz w:val="44"/>
                <w:szCs w:val="44"/>
              </w:rPr>
            </w:pPr>
            <w:r>
              <w:rPr>
                <w:rFonts w:ascii="Times New Roman Bold" w:hAnsi="Times New Roman Bold"/>
                <w:b/>
                <w:smallCaps/>
                <w:noProof/>
                <w:sz w:val="28"/>
                <w:szCs w:val="28"/>
                <w:lang w:eastAsia="en-GB"/>
              </w:rPr>
              <w:drawing>
                <wp:inline distT="0" distB="0" distL="0" distR="0" wp14:anchorId="1056A1E7" wp14:editId="1056A1E8">
                  <wp:extent cx="1286510" cy="510540"/>
                  <wp:effectExtent l="0" t="0" r="8890" b="3810"/>
                  <wp:docPr id="2" name="Picture 2" descr="sdmx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dmx_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86510" cy="510540"/>
                          </a:xfrm>
                          <a:prstGeom prst="rect">
                            <a:avLst/>
                          </a:prstGeom>
                          <a:noFill/>
                          <a:ln>
                            <a:noFill/>
                          </a:ln>
                        </pic:spPr>
                      </pic:pic>
                    </a:graphicData>
                  </a:graphic>
                </wp:inline>
              </w:drawing>
            </w:r>
          </w:p>
          <w:p w14:paraId="1056A0FA" w14:textId="77777777" w:rsidR="009C6717" w:rsidRDefault="009C6717" w:rsidP="009C6717">
            <w:pPr>
              <w:tabs>
                <w:tab w:val="center" w:pos="6946"/>
                <w:tab w:val="right" w:pos="13892"/>
              </w:tabs>
              <w:spacing w:after="0"/>
              <w:jc w:val="center"/>
              <w:rPr>
                <w:b/>
                <w:smallCaps/>
                <w:sz w:val="44"/>
                <w:szCs w:val="44"/>
              </w:rPr>
            </w:pPr>
          </w:p>
          <w:p w14:paraId="1056A0FB" w14:textId="77777777" w:rsidR="009C6717" w:rsidRDefault="00EF2D09" w:rsidP="009C6717">
            <w:pPr>
              <w:tabs>
                <w:tab w:val="center" w:pos="6946"/>
                <w:tab w:val="right" w:pos="13892"/>
              </w:tabs>
              <w:spacing w:after="0"/>
              <w:jc w:val="center"/>
              <w:rPr>
                <w:b/>
                <w:smallCaps/>
                <w:sz w:val="44"/>
                <w:szCs w:val="44"/>
              </w:rPr>
            </w:pPr>
            <w:r>
              <w:rPr>
                <w:b/>
                <w:smallCaps/>
                <w:sz w:val="44"/>
                <w:szCs w:val="44"/>
              </w:rPr>
              <w:t xml:space="preserve">Terms of Reference of the Ownership Group SDMX </w:t>
            </w:r>
            <w:r w:rsidR="009C6717">
              <w:rPr>
                <w:b/>
                <w:smallCaps/>
                <w:sz w:val="44"/>
                <w:szCs w:val="44"/>
              </w:rPr>
              <w:t xml:space="preserve">for </w:t>
            </w:r>
            <w:r w:rsidR="000B788F">
              <w:rPr>
                <w:b/>
                <w:smallCaps/>
                <w:sz w:val="44"/>
                <w:szCs w:val="44"/>
              </w:rPr>
              <w:t>Macro-Economic Statistics</w:t>
            </w:r>
            <w:r w:rsidR="009C6717">
              <w:rPr>
                <w:b/>
                <w:smallCaps/>
                <w:sz w:val="44"/>
                <w:szCs w:val="44"/>
              </w:rPr>
              <w:br/>
            </w:r>
          </w:p>
          <w:p w14:paraId="1056A0FC" w14:textId="77777777" w:rsidR="00237FB7" w:rsidRDefault="000613C9" w:rsidP="000613C9">
            <w:pPr>
              <w:tabs>
                <w:tab w:val="center" w:pos="6946"/>
                <w:tab w:val="right" w:pos="13892"/>
              </w:tabs>
              <w:spacing w:after="0"/>
              <w:jc w:val="right"/>
              <w:rPr>
                <w:rFonts w:ascii="Times New Roman Bold" w:hAnsi="Times New Roman Bold"/>
                <w:b/>
                <w:smallCaps/>
                <w:sz w:val="44"/>
                <w:szCs w:val="44"/>
              </w:rPr>
            </w:pPr>
            <w:r>
              <w:rPr>
                <w:b/>
                <w:smallCaps/>
                <w:sz w:val="36"/>
                <w:szCs w:val="44"/>
              </w:rPr>
              <w:t>9</w:t>
            </w:r>
            <w:r w:rsidR="002166AB" w:rsidRPr="00EF2D09">
              <w:rPr>
                <w:b/>
                <w:smallCaps/>
                <w:sz w:val="36"/>
                <w:szCs w:val="44"/>
              </w:rPr>
              <w:t xml:space="preserve"> </w:t>
            </w:r>
            <w:r>
              <w:rPr>
                <w:b/>
                <w:smallCaps/>
                <w:sz w:val="36"/>
                <w:szCs w:val="44"/>
              </w:rPr>
              <w:t>February</w:t>
            </w:r>
            <w:r w:rsidR="008F189D" w:rsidRPr="00EF2D09">
              <w:rPr>
                <w:b/>
                <w:smallCaps/>
                <w:sz w:val="36"/>
                <w:szCs w:val="44"/>
              </w:rPr>
              <w:t xml:space="preserve"> </w:t>
            </w:r>
            <w:r w:rsidR="004B1932" w:rsidRPr="00EF2D09">
              <w:rPr>
                <w:b/>
                <w:smallCaps/>
                <w:sz w:val="36"/>
                <w:szCs w:val="44"/>
              </w:rPr>
              <w:t>201</w:t>
            </w:r>
            <w:r w:rsidR="002166AB" w:rsidRPr="00EF2D09">
              <w:rPr>
                <w:b/>
                <w:smallCaps/>
                <w:sz w:val="36"/>
                <w:szCs w:val="44"/>
              </w:rPr>
              <w:t>6</w:t>
            </w:r>
          </w:p>
        </w:tc>
      </w:tr>
    </w:tbl>
    <w:p w14:paraId="1056A0FE" w14:textId="77777777" w:rsidR="00152707" w:rsidRDefault="00152707" w:rsidP="009C6717">
      <w:pPr>
        <w:pStyle w:val="Heading1"/>
      </w:pPr>
      <w:r>
        <w:t>Introduction</w:t>
      </w:r>
    </w:p>
    <w:p w14:paraId="1056A0FF" w14:textId="77777777" w:rsidR="00152707" w:rsidRDefault="00152707" w:rsidP="00EF2D09">
      <w:pPr>
        <w:jc w:val="both"/>
      </w:pPr>
      <w:r>
        <w:t xml:space="preserve">The introduction of global Data Structure Definitions (DSDs) </w:t>
      </w:r>
      <w:r w:rsidR="005F09C3">
        <w:t>under the auspices of the SDMX</w:t>
      </w:r>
      <w:r w:rsidR="005F09C3">
        <w:rPr>
          <w:rStyle w:val="FootnoteReference"/>
        </w:rPr>
        <w:footnoteReference w:id="2"/>
      </w:r>
      <w:r w:rsidR="005F09C3">
        <w:t xml:space="preserve"> Sponsors Group </w:t>
      </w:r>
      <w:r>
        <w:t xml:space="preserve">has created a momentum for </w:t>
      </w:r>
      <w:r w:rsidR="005F09C3">
        <w:t xml:space="preserve">standardisation of data models and data exchange </w:t>
      </w:r>
      <w:r>
        <w:t xml:space="preserve">using the SDMX information model, both </w:t>
      </w:r>
      <w:r w:rsidR="00792DAC">
        <w:t xml:space="preserve">at the </w:t>
      </w:r>
      <w:r>
        <w:t xml:space="preserve">conceptual </w:t>
      </w:r>
      <w:r w:rsidR="00792DAC">
        <w:t xml:space="preserve">level </w:t>
      </w:r>
      <w:r>
        <w:t xml:space="preserve">and in the technical infrastructure needed for implementation. It also marks a </w:t>
      </w:r>
      <w:r w:rsidR="00792DAC">
        <w:t>significant enhancement of cooperation among relevant</w:t>
      </w:r>
      <w:r>
        <w:t xml:space="preserve"> International Organisations (IOs) </w:t>
      </w:r>
      <w:r w:rsidR="00792DAC">
        <w:t>in the</w:t>
      </w:r>
      <w:r>
        <w:t xml:space="preserve"> align</w:t>
      </w:r>
      <w:r w:rsidR="00792DAC">
        <w:t>ment</w:t>
      </w:r>
      <w:r>
        <w:t xml:space="preserve"> o</w:t>
      </w:r>
      <w:r w:rsidR="00792DAC">
        <w:t>f</w:t>
      </w:r>
      <w:r>
        <w:t xml:space="preserve"> the coding system (the DSDs in the narrow sense), </w:t>
      </w:r>
      <w:r w:rsidR="00792DAC">
        <w:t>as well as the application of</w:t>
      </w:r>
      <w:r>
        <w:t xml:space="preserve"> these DSDs to the actual data flows that are under their responsibility.</w:t>
      </w:r>
    </w:p>
    <w:p w14:paraId="1056A100" w14:textId="77777777" w:rsidR="00152707" w:rsidRDefault="00152707" w:rsidP="00EF2D09">
      <w:pPr>
        <w:jc w:val="both"/>
      </w:pPr>
      <w:r w:rsidRPr="00DF74DA">
        <w:t>The IOs represented in the O</w:t>
      </w:r>
      <w:r>
        <w:t xml:space="preserve">wnership </w:t>
      </w:r>
      <w:r w:rsidRPr="00DF74DA">
        <w:t>G</w:t>
      </w:r>
      <w:r>
        <w:t>roup</w:t>
      </w:r>
      <w:r w:rsidRPr="00DF74DA">
        <w:t xml:space="preserve"> </w:t>
      </w:r>
      <w:r w:rsidR="00792DAC">
        <w:t>for SDMX in Macro-Economic Statistics (</w:t>
      </w:r>
      <w:r w:rsidR="00EE29B7">
        <w:t>referred to as “Ownership Group” in the rest of this document</w:t>
      </w:r>
      <w:r w:rsidR="00792DAC">
        <w:t xml:space="preserve">) </w:t>
      </w:r>
      <w:r w:rsidRPr="00DF74DA">
        <w:t xml:space="preserve">are </w:t>
      </w:r>
      <w:r>
        <w:t xml:space="preserve">all </w:t>
      </w:r>
      <w:r w:rsidRPr="00DF74DA">
        <w:t xml:space="preserve">involved in </w:t>
      </w:r>
      <w:r w:rsidR="00792DAC">
        <w:t xml:space="preserve">the </w:t>
      </w:r>
      <w:r>
        <w:t xml:space="preserve">management and </w:t>
      </w:r>
      <w:r w:rsidRPr="00DF74DA">
        <w:t xml:space="preserve">exchange </w:t>
      </w:r>
      <w:r w:rsidR="00792DAC">
        <w:t xml:space="preserve">of data </w:t>
      </w:r>
      <w:r w:rsidRPr="00DF74DA">
        <w:t xml:space="preserve">in the </w:t>
      </w:r>
      <w:r>
        <w:t>relevant areas of statistics</w:t>
      </w:r>
      <w:r w:rsidRPr="00DF74DA">
        <w:t xml:space="preserve">. They </w:t>
      </w:r>
      <w:r>
        <w:t xml:space="preserve">also </w:t>
      </w:r>
      <w:r w:rsidRPr="00DF74DA">
        <w:t xml:space="preserve">have </w:t>
      </w:r>
      <w:r w:rsidRPr="00576920">
        <w:t>constituencies</w:t>
      </w:r>
      <w:r>
        <w:t xml:space="preserve">, </w:t>
      </w:r>
      <w:r w:rsidRPr="00DF74DA">
        <w:t xml:space="preserve">consisting of </w:t>
      </w:r>
      <w:r>
        <w:t>N</w:t>
      </w:r>
      <w:r w:rsidRPr="00DF74DA">
        <w:t xml:space="preserve">ational </w:t>
      </w:r>
      <w:r>
        <w:t>S</w:t>
      </w:r>
      <w:r w:rsidRPr="00DF74DA">
        <w:t xml:space="preserve">tatistical </w:t>
      </w:r>
      <w:r>
        <w:t>Offices</w:t>
      </w:r>
      <w:r w:rsidR="005F09C3">
        <w:t xml:space="preserve">, </w:t>
      </w:r>
      <w:r>
        <w:t>N</w:t>
      </w:r>
      <w:r w:rsidRPr="00DF74DA">
        <w:t xml:space="preserve">ational </w:t>
      </w:r>
      <w:r>
        <w:t>C</w:t>
      </w:r>
      <w:r w:rsidRPr="00DF74DA">
        <w:t xml:space="preserve">entral </w:t>
      </w:r>
      <w:r>
        <w:t>B</w:t>
      </w:r>
      <w:r w:rsidRPr="00DF74DA">
        <w:t>anks</w:t>
      </w:r>
      <w:r w:rsidR="00792DAC">
        <w:t>,</w:t>
      </w:r>
      <w:r w:rsidRPr="00DF74DA">
        <w:t xml:space="preserve"> </w:t>
      </w:r>
      <w:r>
        <w:t>and</w:t>
      </w:r>
      <w:r w:rsidR="005F09C3">
        <w:t xml:space="preserve"> other statistical actors</w:t>
      </w:r>
      <w:r>
        <w:t>,</w:t>
      </w:r>
      <w:r w:rsidRPr="00DF74DA">
        <w:t xml:space="preserve"> </w:t>
      </w:r>
      <w:r w:rsidR="005F09C3">
        <w:t>sharing</w:t>
      </w:r>
      <w:r w:rsidRPr="00DF74DA">
        <w:t xml:space="preserve"> the benefits of the </w:t>
      </w:r>
      <w:r w:rsidR="005F09C3">
        <w:t xml:space="preserve">SDMX framework and the </w:t>
      </w:r>
      <w:r w:rsidRPr="00DF74DA">
        <w:t>global DSDs</w:t>
      </w:r>
      <w:r w:rsidR="005F09C3">
        <w:t xml:space="preserve"> available so far</w:t>
      </w:r>
      <w:r w:rsidRPr="00DF74DA">
        <w:t>. Whilst t</w:t>
      </w:r>
      <w:r>
        <w:t>he I</w:t>
      </w:r>
      <w:r w:rsidRPr="00DF74DA">
        <w:t>Os have abandoned some of their autonomy in establishing a</w:t>
      </w:r>
      <w:r>
        <w:t>n information model and a</w:t>
      </w:r>
      <w:r w:rsidRPr="00DF74DA">
        <w:t xml:space="preserve"> coding structure, the first tangible benefit can be observed in </w:t>
      </w:r>
      <w:r w:rsidR="00792DAC">
        <w:t xml:space="preserve">the alignment of </w:t>
      </w:r>
      <w:r w:rsidRPr="00DF74DA">
        <w:t>individual countries</w:t>
      </w:r>
      <w:r w:rsidR="00792DAC">
        <w:t>’</w:t>
      </w:r>
      <w:r w:rsidRPr="00DF74DA">
        <w:t xml:space="preserve"> data reporting obligations to </w:t>
      </w:r>
      <w:r w:rsidR="00792DAC">
        <w:t>various</w:t>
      </w:r>
      <w:r w:rsidRPr="00DF74DA">
        <w:t xml:space="preserve"> IOs</w:t>
      </w:r>
      <w:r w:rsidR="00792DAC">
        <w:t xml:space="preserve">, by unifying the transmission </w:t>
      </w:r>
      <w:r w:rsidR="00FB714B">
        <w:t xml:space="preserve">format </w:t>
      </w:r>
      <w:r w:rsidR="00FB714B" w:rsidRPr="00DF74DA">
        <w:t>and</w:t>
      </w:r>
      <w:r w:rsidRPr="00DF74DA">
        <w:t xml:space="preserve"> </w:t>
      </w:r>
      <w:r w:rsidR="00792DAC">
        <w:t xml:space="preserve">abandoning the </w:t>
      </w:r>
      <w:r w:rsidRPr="00DF74DA">
        <w:t xml:space="preserve">need to service these </w:t>
      </w:r>
      <w:r w:rsidR="00792DAC">
        <w:t xml:space="preserve">obligations </w:t>
      </w:r>
      <w:r w:rsidRPr="00DF74DA">
        <w:t xml:space="preserve">in different data transmission formats. The second tangible benefit of the </w:t>
      </w:r>
      <w:r>
        <w:t>g</w:t>
      </w:r>
      <w:r w:rsidRPr="00DF74DA">
        <w:t>lobal DSDs is that it greatly facilitates data exchange b</w:t>
      </w:r>
      <w:r>
        <w:t>etween IOs</w:t>
      </w:r>
      <w:r w:rsidR="00792DAC">
        <w:t>, as a consequence of which</w:t>
      </w:r>
      <w:r>
        <w:t xml:space="preserve"> I</w:t>
      </w:r>
      <w:r w:rsidRPr="00DF74DA">
        <w:t xml:space="preserve">Os </w:t>
      </w:r>
      <w:r w:rsidR="00792DAC">
        <w:t>can</w:t>
      </w:r>
      <w:r w:rsidRPr="00DF74DA">
        <w:t xml:space="preserve"> rely on their mutual data exchange arrangements</w:t>
      </w:r>
      <w:r w:rsidR="00792DAC">
        <w:t xml:space="preserve"> for collecting national data</w:t>
      </w:r>
      <w:r>
        <w:t xml:space="preserve">. Thus </w:t>
      </w:r>
      <w:r w:rsidRPr="00DF74DA">
        <w:t xml:space="preserve">a single country </w:t>
      </w:r>
      <w:r>
        <w:t>reporting data</w:t>
      </w:r>
      <w:r w:rsidR="00EE29B7">
        <w:t xml:space="preserve"> can limit the provision of</w:t>
      </w:r>
      <w:r w:rsidRPr="00DF74DA">
        <w:t xml:space="preserve"> a given dataset</w:t>
      </w:r>
      <w:r w:rsidR="00EE29B7">
        <w:t xml:space="preserve"> by sending it,</w:t>
      </w:r>
      <w:r w:rsidRPr="00DF74DA">
        <w:t xml:space="preserve"> in the </w:t>
      </w:r>
      <w:r>
        <w:t>agreed</w:t>
      </w:r>
      <w:r w:rsidRPr="00DF74DA">
        <w:t xml:space="preserve"> data format</w:t>
      </w:r>
      <w:r w:rsidR="00EE29B7">
        <w:t>,</w:t>
      </w:r>
      <w:r w:rsidRPr="00DF74DA">
        <w:t xml:space="preserve"> </w:t>
      </w:r>
      <w:r>
        <w:t>to one IO which afterwards make</w:t>
      </w:r>
      <w:r w:rsidR="00EE29B7">
        <w:t>s</w:t>
      </w:r>
      <w:r>
        <w:t xml:space="preserve"> these data available to the other I</w:t>
      </w:r>
      <w:r w:rsidRPr="00DF74DA">
        <w:t xml:space="preserve">Os. </w:t>
      </w:r>
      <w:r>
        <w:t xml:space="preserve">This scenario is </w:t>
      </w:r>
      <w:r w:rsidR="005F09C3">
        <w:t xml:space="preserve">already </w:t>
      </w:r>
      <w:r>
        <w:t xml:space="preserve">implemented </w:t>
      </w:r>
      <w:r w:rsidR="00EE29B7">
        <w:t xml:space="preserve">for some reporting templates, </w:t>
      </w:r>
      <w:r w:rsidR="005F09C3">
        <w:t xml:space="preserve">under the </w:t>
      </w:r>
      <w:r w:rsidR="00EE29B7">
        <w:t xml:space="preserve">G-20 </w:t>
      </w:r>
      <w:r w:rsidR="005F09C3">
        <w:t>Data Gaps Initiative</w:t>
      </w:r>
      <w:r w:rsidR="00EE29B7">
        <w:t>,</w:t>
      </w:r>
      <w:r w:rsidR="005F09C3">
        <w:t xml:space="preserve"> </w:t>
      </w:r>
      <w:r w:rsidR="00EE29B7">
        <w:t>as part of the objectives</w:t>
      </w:r>
      <w:r>
        <w:t xml:space="preserve"> of the Task Force on Int</w:t>
      </w:r>
      <w:r w:rsidR="005F09C3">
        <w:t>ernational Data Cooperation (TF</w:t>
      </w:r>
      <w:r>
        <w:t xml:space="preserve">IDC). A third </w:t>
      </w:r>
      <w:r w:rsidR="005F09C3">
        <w:t>benefit is that the global DSDs are</w:t>
      </w:r>
      <w:r>
        <w:t xml:space="preserve"> accessible from a unique authoritative sou</w:t>
      </w:r>
      <w:r w:rsidR="005F09C3">
        <w:t>rce on the SDMX Global Registry and thus</w:t>
      </w:r>
      <w:r>
        <w:t xml:space="preserve"> provide a ready to use data model for internal data management of the rel</w:t>
      </w:r>
      <w:r w:rsidR="00EE29B7">
        <w:t>evant</w:t>
      </w:r>
      <w:r>
        <w:t xml:space="preserve"> statistics in </w:t>
      </w:r>
      <w:r w:rsidR="00EE29B7">
        <w:t xml:space="preserve">countries and </w:t>
      </w:r>
      <w:r>
        <w:t>IOs.</w:t>
      </w:r>
    </w:p>
    <w:p w14:paraId="1056A101" w14:textId="77777777" w:rsidR="00152707" w:rsidRPr="00152707" w:rsidRDefault="00152707" w:rsidP="00EF2D09">
      <w:pPr>
        <w:jc w:val="both"/>
      </w:pPr>
      <w:r>
        <w:t xml:space="preserve">It is also acknowledged that </w:t>
      </w:r>
      <w:r w:rsidRPr="00DF74DA">
        <w:t>the introduction of the new standards place</w:t>
      </w:r>
      <w:r>
        <w:t>s</w:t>
      </w:r>
      <w:r w:rsidRPr="00DF74DA">
        <w:t xml:space="preserve"> the burden of accommodating </w:t>
      </w:r>
      <w:r>
        <w:t xml:space="preserve">any agreed </w:t>
      </w:r>
      <w:r w:rsidRPr="00DF74DA">
        <w:t>change to these DSDs not only on the participating IOs</w:t>
      </w:r>
      <w:r>
        <w:t>,</w:t>
      </w:r>
      <w:r w:rsidRPr="00DF74DA">
        <w:t xml:space="preserve"> but also </w:t>
      </w:r>
      <w:r>
        <w:t xml:space="preserve">on </w:t>
      </w:r>
      <w:r w:rsidRPr="00DF74DA">
        <w:t xml:space="preserve">the </w:t>
      </w:r>
      <w:r>
        <w:t xml:space="preserve">side of the </w:t>
      </w:r>
      <w:r w:rsidRPr="00DF74DA">
        <w:t xml:space="preserve">national </w:t>
      </w:r>
      <w:r>
        <w:t xml:space="preserve">statistical authorities of </w:t>
      </w:r>
      <w:r w:rsidRPr="00DF74DA">
        <w:t xml:space="preserve">the </w:t>
      </w:r>
      <w:r>
        <w:t>various</w:t>
      </w:r>
      <w:r w:rsidRPr="00DF74DA">
        <w:t xml:space="preserve"> constituencies</w:t>
      </w:r>
      <w:r>
        <w:t>.</w:t>
      </w:r>
      <w:r w:rsidRPr="00DF74DA">
        <w:t xml:space="preserve"> </w:t>
      </w:r>
      <w:r>
        <w:t>In this respect</w:t>
      </w:r>
      <w:r w:rsidR="00EE29B7">
        <w:t>,</w:t>
      </w:r>
      <w:r>
        <w:t xml:space="preserve"> </w:t>
      </w:r>
      <w:r w:rsidRPr="00DF74DA">
        <w:t xml:space="preserve">particular care needs to be taken </w:t>
      </w:r>
      <w:r>
        <w:t xml:space="preserve">that all changes </w:t>
      </w:r>
      <w:r>
        <w:lastRenderedPageBreak/>
        <w:t xml:space="preserve">are introduced and communicated in a consistent and transparent way by the Ownership Group. The </w:t>
      </w:r>
      <w:r w:rsidR="005F09C3">
        <w:t>maintenance agreements in place</w:t>
      </w:r>
      <w:r>
        <w:t xml:space="preserve"> </w:t>
      </w:r>
      <w:r w:rsidR="005F09C3">
        <w:t>cater</w:t>
      </w:r>
      <w:r>
        <w:t xml:space="preserve"> for </w:t>
      </w:r>
      <w:r w:rsidR="005F09C3">
        <w:t xml:space="preserve">long-term </w:t>
      </w:r>
      <w:r>
        <w:t>stability (e.g. backward c</w:t>
      </w:r>
      <w:r w:rsidR="005F09C3">
        <w:t>ompatibility), but also provide</w:t>
      </w:r>
      <w:r>
        <w:t xml:space="preserve"> for sufficient flexibility to accommodate the needs of individual IOs and their constituencies to implement changes.</w:t>
      </w:r>
    </w:p>
    <w:p w14:paraId="1056A102" w14:textId="77777777" w:rsidR="000B788F" w:rsidRDefault="000B788F" w:rsidP="009C6717">
      <w:pPr>
        <w:pStyle w:val="Heading1"/>
      </w:pPr>
      <w:r>
        <w:t xml:space="preserve">Ownership Group </w:t>
      </w:r>
      <w:r w:rsidR="000324B7">
        <w:t>Mandate</w:t>
      </w:r>
    </w:p>
    <w:p w14:paraId="1056A103" w14:textId="77777777" w:rsidR="00D167CE" w:rsidRDefault="00D167CE" w:rsidP="00EF2D09">
      <w:pPr>
        <w:jc w:val="both"/>
      </w:pPr>
      <w:r>
        <w:t>The Ownership Group for SDMX in Macro-Economic Statistics (SDMX-MES) is mandated by the SDMX Sponsors group to oversee the maintenance of global DSDs and related artefacts for the statistical domains related to macro-economic statistics.</w:t>
      </w:r>
      <w:r w:rsidR="00CA6D7B">
        <w:t xml:space="preserve"> The following organisations </w:t>
      </w:r>
      <w:r w:rsidR="00EE29B7">
        <w:t>are member of</w:t>
      </w:r>
      <w:r w:rsidR="00CA6D7B">
        <w:t xml:space="preserve"> the Ownership Group:</w:t>
      </w:r>
    </w:p>
    <w:p w14:paraId="1056A104" w14:textId="77777777" w:rsidR="00CA6D7B" w:rsidRDefault="00CA6D7B" w:rsidP="00CA6D7B">
      <w:pPr>
        <w:pStyle w:val="ListParagraph"/>
        <w:numPr>
          <w:ilvl w:val="0"/>
          <w:numId w:val="11"/>
        </w:numPr>
      </w:pPr>
      <w:r>
        <w:t>Bank for International Settlements (BIS)</w:t>
      </w:r>
    </w:p>
    <w:p w14:paraId="1056A105" w14:textId="77777777" w:rsidR="00CA6D7B" w:rsidRDefault="00CA6D7B" w:rsidP="00CA6D7B">
      <w:pPr>
        <w:pStyle w:val="ListParagraph"/>
        <w:numPr>
          <w:ilvl w:val="0"/>
          <w:numId w:val="11"/>
        </w:numPr>
      </w:pPr>
      <w:r>
        <w:t>European Central Bank (ECB)</w:t>
      </w:r>
    </w:p>
    <w:p w14:paraId="1056A106" w14:textId="77777777" w:rsidR="00CA6D7B" w:rsidRDefault="00CA6D7B" w:rsidP="00CA6D7B">
      <w:pPr>
        <w:pStyle w:val="ListParagraph"/>
        <w:numPr>
          <w:ilvl w:val="0"/>
          <w:numId w:val="11"/>
        </w:numPr>
      </w:pPr>
      <w:r>
        <w:t>Eurostat (ESTAT)</w:t>
      </w:r>
    </w:p>
    <w:p w14:paraId="1056A107" w14:textId="77777777" w:rsidR="00CA6D7B" w:rsidRDefault="00CA6D7B" w:rsidP="00CA6D7B">
      <w:pPr>
        <w:pStyle w:val="ListParagraph"/>
        <w:numPr>
          <w:ilvl w:val="0"/>
          <w:numId w:val="11"/>
        </w:numPr>
      </w:pPr>
      <w:r>
        <w:t>International Monetary Fund (IMF)</w:t>
      </w:r>
    </w:p>
    <w:p w14:paraId="1056A108" w14:textId="77777777" w:rsidR="00CA6D7B" w:rsidRDefault="00CA6D7B" w:rsidP="00CA6D7B">
      <w:pPr>
        <w:pStyle w:val="ListParagraph"/>
        <w:numPr>
          <w:ilvl w:val="0"/>
          <w:numId w:val="11"/>
        </w:numPr>
      </w:pPr>
      <w:r>
        <w:t>Organisation for Economic Co-operation and Development (OECD)</w:t>
      </w:r>
    </w:p>
    <w:p w14:paraId="1056A109" w14:textId="77777777" w:rsidR="00CA6D7B" w:rsidRDefault="00CA6D7B" w:rsidP="00CA6D7B">
      <w:pPr>
        <w:pStyle w:val="ListParagraph"/>
        <w:numPr>
          <w:ilvl w:val="0"/>
          <w:numId w:val="11"/>
        </w:numPr>
      </w:pPr>
      <w:r>
        <w:t>United Nations Statistics Division (UNSD)</w:t>
      </w:r>
    </w:p>
    <w:p w14:paraId="1056A10A" w14:textId="77777777" w:rsidR="00CA6D7B" w:rsidRDefault="00CA6D7B" w:rsidP="00CA6D7B">
      <w:pPr>
        <w:pStyle w:val="ListParagraph"/>
        <w:numPr>
          <w:ilvl w:val="0"/>
          <w:numId w:val="11"/>
        </w:numPr>
      </w:pPr>
      <w:r>
        <w:t>World Bank (WB)</w:t>
      </w:r>
    </w:p>
    <w:p w14:paraId="1056A10B" w14:textId="77777777" w:rsidR="00D167CE" w:rsidRDefault="00D167CE" w:rsidP="00D167CE">
      <w:r>
        <w:t>Currently the following statistical domains are covered by this agreement:</w:t>
      </w:r>
    </w:p>
    <w:tbl>
      <w:tblPr>
        <w:tblW w:w="8733" w:type="dxa"/>
        <w:tblBorders>
          <w:top w:val="single" w:sz="8" w:space="0" w:color="FF0000"/>
          <w:left w:val="single" w:sz="8" w:space="0" w:color="FF0000"/>
          <w:bottom w:val="single" w:sz="8" w:space="0" w:color="FF0000"/>
          <w:right w:val="single" w:sz="8" w:space="0" w:color="FF0000"/>
        </w:tblBorders>
        <w:tblLayout w:type="fixed"/>
        <w:tblLook w:val="04A0" w:firstRow="1" w:lastRow="0" w:firstColumn="1" w:lastColumn="0" w:noHBand="0" w:noVBand="1"/>
      </w:tblPr>
      <w:tblGrid>
        <w:gridCol w:w="2802"/>
        <w:gridCol w:w="3638"/>
        <w:gridCol w:w="2293"/>
      </w:tblGrid>
      <w:tr w:rsidR="00D167CE" w:rsidRPr="003611CA" w14:paraId="1056A10F" w14:textId="77777777" w:rsidTr="00EF2D09">
        <w:trPr>
          <w:cantSplit/>
          <w:tblHeader/>
        </w:trPr>
        <w:tc>
          <w:tcPr>
            <w:tcW w:w="2802" w:type="dxa"/>
            <w:tcBorders>
              <w:top w:val="single" w:sz="8" w:space="0" w:color="FF0000"/>
              <w:left w:val="single" w:sz="8" w:space="0" w:color="FF0000"/>
              <w:bottom w:val="single" w:sz="8" w:space="0" w:color="FF0000"/>
              <w:right w:val="single" w:sz="8" w:space="0" w:color="FF0000"/>
            </w:tcBorders>
            <w:shd w:val="clear" w:color="auto" w:fill="E36C0A" w:themeFill="accent6" w:themeFillShade="BF"/>
          </w:tcPr>
          <w:p w14:paraId="1056A10C" w14:textId="77777777" w:rsidR="00D167CE" w:rsidRPr="003611CA" w:rsidRDefault="00D167CE" w:rsidP="00D167CE">
            <w:pPr>
              <w:keepNext/>
              <w:keepLines/>
              <w:spacing w:before="120" w:after="120" w:line="240" w:lineRule="auto"/>
              <w:jc w:val="center"/>
              <w:rPr>
                <w:b/>
                <w:bCs/>
                <w:color w:val="FFFFFF"/>
                <w:sz w:val="24"/>
                <w:szCs w:val="24"/>
              </w:rPr>
            </w:pPr>
            <w:r>
              <w:rPr>
                <w:b/>
                <w:bCs/>
                <w:color w:val="FFFFFF"/>
                <w:sz w:val="24"/>
                <w:szCs w:val="24"/>
              </w:rPr>
              <w:t>Statistical Domain</w:t>
            </w:r>
          </w:p>
        </w:tc>
        <w:tc>
          <w:tcPr>
            <w:tcW w:w="3638" w:type="dxa"/>
            <w:tcBorders>
              <w:top w:val="single" w:sz="8" w:space="0" w:color="FF0000"/>
              <w:left w:val="single" w:sz="8" w:space="0" w:color="FF0000"/>
              <w:bottom w:val="single" w:sz="8" w:space="0" w:color="FF0000"/>
              <w:right w:val="single" w:sz="8" w:space="0" w:color="FF0000"/>
            </w:tcBorders>
            <w:shd w:val="clear" w:color="auto" w:fill="E36C0A" w:themeFill="accent6" w:themeFillShade="BF"/>
          </w:tcPr>
          <w:p w14:paraId="1056A10D" w14:textId="77777777" w:rsidR="00D167CE" w:rsidRPr="003611CA" w:rsidRDefault="00D167CE" w:rsidP="00D167CE">
            <w:pPr>
              <w:keepNext/>
              <w:keepLines/>
              <w:spacing w:before="120" w:after="120" w:line="240" w:lineRule="auto"/>
              <w:jc w:val="center"/>
              <w:rPr>
                <w:b/>
                <w:bCs/>
                <w:color w:val="FFFFFF"/>
                <w:sz w:val="24"/>
                <w:szCs w:val="24"/>
              </w:rPr>
            </w:pPr>
            <w:r>
              <w:rPr>
                <w:b/>
                <w:bCs/>
                <w:color w:val="FFFFFF"/>
                <w:sz w:val="24"/>
                <w:szCs w:val="24"/>
              </w:rPr>
              <w:t>Maintenance Agency</w:t>
            </w:r>
            <w:r w:rsidR="00FB714B">
              <w:rPr>
                <w:b/>
                <w:bCs/>
                <w:color w:val="FFFFFF"/>
                <w:sz w:val="24"/>
                <w:szCs w:val="24"/>
              </w:rPr>
              <w:t xml:space="preserve"> and Contact</w:t>
            </w:r>
          </w:p>
        </w:tc>
        <w:tc>
          <w:tcPr>
            <w:tcW w:w="2293" w:type="dxa"/>
            <w:tcBorders>
              <w:top w:val="single" w:sz="8" w:space="0" w:color="FF0000"/>
              <w:left w:val="single" w:sz="8" w:space="0" w:color="FF0000"/>
              <w:bottom w:val="single" w:sz="8" w:space="0" w:color="FF0000"/>
              <w:right w:val="single" w:sz="8" w:space="0" w:color="FF0000"/>
            </w:tcBorders>
            <w:shd w:val="clear" w:color="auto" w:fill="E36C0A" w:themeFill="accent6" w:themeFillShade="BF"/>
          </w:tcPr>
          <w:p w14:paraId="1056A10E" w14:textId="77777777" w:rsidR="00D167CE" w:rsidRPr="003611CA" w:rsidRDefault="00D167CE" w:rsidP="00D167CE">
            <w:pPr>
              <w:keepNext/>
              <w:keepLines/>
              <w:spacing w:before="120" w:after="120" w:line="240" w:lineRule="auto"/>
              <w:jc w:val="center"/>
              <w:rPr>
                <w:b/>
                <w:bCs/>
                <w:color w:val="FFFFFF"/>
                <w:sz w:val="24"/>
                <w:szCs w:val="24"/>
              </w:rPr>
            </w:pPr>
            <w:r>
              <w:rPr>
                <w:b/>
                <w:bCs/>
                <w:color w:val="FFFFFF"/>
                <w:sz w:val="24"/>
                <w:szCs w:val="24"/>
              </w:rPr>
              <w:t>Major Stakeholders</w:t>
            </w:r>
          </w:p>
        </w:tc>
      </w:tr>
      <w:tr w:rsidR="00D167CE" w:rsidRPr="003611CA" w14:paraId="1056A115" w14:textId="77777777" w:rsidTr="00FC17C6">
        <w:trPr>
          <w:cantSplit/>
        </w:trPr>
        <w:tc>
          <w:tcPr>
            <w:tcW w:w="2802" w:type="dxa"/>
            <w:tcBorders>
              <w:top w:val="single" w:sz="8" w:space="0" w:color="FF0000"/>
              <w:left w:val="single" w:sz="8" w:space="0" w:color="FF0000"/>
              <w:bottom w:val="single" w:sz="8" w:space="0" w:color="FF0000"/>
              <w:right w:val="single" w:sz="8" w:space="0" w:color="FF0000"/>
            </w:tcBorders>
            <w:shd w:val="clear" w:color="auto" w:fill="FBD4B4" w:themeFill="accent6" w:themeFillTint="66"/>
          </w:tcPr>
          <w:p w14:paraId="1056A110" w14:textId="77777777" w:rsidR="00D167CE" w:rsidRDefault="00D167CE" w:rsidP="00D167CE">
            <w:pPr>
              <w:spacing w:before="60" w:after="60"/>
              <w:jc w:val="both"/>
              <w:rPr>
                <w:b/>
                <w:bCs/>
              </w:rPr>
            </w:pPr>
            <w:r>
              <w:rPr>
                <w:b/>
                <w:bCs/>
              </w:rPr>
              <w:t>BOP</w:t>
            </w:r>
          </w:p>
          <w:p w14:paraId="1056A111" w14:textId="77777777" w:rsidR="00D167CE" w:rsidRPr="006E1528" w:rsidRDefault="00D167CE" w:rsidP="00D167CE">
            <w:pPr>
              <w:spacing w:before="60" w:after="60"/>
              <w:jc w:val="both"/>
              <w:rPr>
                <w:bCs/>
              </w:rPr>
            </w:pPr>
            <w:r>
              <w:rPr>
                <w:bCs/>
              </w:rPr>
              <w:t>Balance of Payments</w:t>
            </w:r>
          </w:p>
        </w:tc>
        <w:tc>
          <w:tcPr>
            <w:tcW w:w="3638" w:type="dxa"/>
            <w:tcBorders>
              <w:top w:val="single" w:sz="8" w:space="0" w:color="FF0000"/>
              <w:left w:val="single" w:sz="8" w:space="0" w:color="FF0000"/>
              <w:bottom w:val="single" w:sz="8" w:space="0" w:color="FF0000"/>
              <w:right w:val="single" w:sz="8" w:space="0" w:color="FF0000"/>
            </w:tcBorders>
            <w:shd w:val="clear" w:color="auto" w:fill="auto"/>
          </w:tcPr>
          <w:p w14:paraId="1056A112" w14:textId="77777777" w:rsidR="00D167CE" w:rsidRDefault="00D167CE" w:rsidP="00D167CE">
            <w:pPr>
              <w:spacing w:before="60" w:after="60"/>
              <w:jc w:val="both"/>
            </w:pPr>
            <w:r>
              <w:t>IMF</w:t>
            </w:r>
          </w:p>
          <w:p w14:paraId="1056A113" w14:textId="77777777" w:rsidR="00FB714B" w:rsidRPr="003611CA" w:rsidRDefault="0010202A" w:rsidP="00D167CE">
            <w:pPr>
              <w:spacing w:before="60" w:after="60"/>
              <w:jc w:val="both"/>
            </w:pPr>
            <w:hyperlink r:id="rId9" w:history="1">
              <w:r w:rsidR="00FB714B" w:rsidRPr="000D338B">
                <w:rPr>
                  <w:rStyle w:val="Hyperlink"/>
                  <w:lang w:val="en-US"/>
                </w:rPr>
                <w:t>StatisticsQuery@imf.org</w:t>
              </w:r>
            </w:hyperlink>
          </w:p>
        </w:tc>
        <w:tc>
          <w:tcPr>
            <w:tcW w:w="2293" w:type="dxa"/>
            <w:tcBorders>
              <w:top w:val="single" w:sz="8" w:space="0" w:color="FF0000"/>
              <w:left w:val="single" w:sz="8" w:space="0" w:color="FF0000"/>
              <w:bottom w:val="single" w:sz="8" w:space="0" w:color="FF0000"/>
              <w:right w:val="single" w:sz="8" w:space="0" w:color="FF0000"/>
            </w:tcBorders>
            <w:shd w:val="clear" w:color="auto" w:fill="auto"/>
          </w:tcPr>
          <w:p w14:paraId="1056A114" w14:textId="77777777" w:rsidR="00D167CE" w:rsidRPr="003611CA" w:rsidRDefault="00D167CE" w:rsidP="00D167CE">
            <w:pPr>
              <w:spacing w:before="60" w:after="60"/>
            </w:pPr>
            <w:r>
              <w:t xml:space="preserve">BOPCOM </w:t>
            </w:r>
            <w:r>
              <w:rPr>
                <w:rStyle w:val="FootnoteReference"/>
              </w:rPr>
              <w:footnoteReference w:id="3"/>
            </w:r>
          </w:p>
        </w:tc>
      </w:tr>
      <w:tr w:rsidR="00D167CE" w:rsidRPr="003611CA" w14:paraId="1056A11B" w14:textId="77777777" w:rsidTr="00FC17C6">
        <w:trPr>
          <w:cantSplit/>
        </w:trPr>
        <w:tc>
          <w:tcPr>
            <w:tcW w:w="2802" w:type="dxa"/>
            <w:tcBorders>
              <w:top w:val="single" w:sz="8" w:space="0" w:color="FF0000"/>
              <w:left w:val="single" w:sz="8" w:space="0" w:color="FF0000"/>
              <w:bottom w:val="single" w:sz="8" w:space="0" w:color="FF0000"/>
              <w:right w:val="single" w:sz="8" w:space="0" w:color="FF0000"/>
            </w:tcBorders>
            <w:shd w:val="clear" w:color="auto" w:fill="FBD4B4" w:themeFill="accent6" w:themeFillTint="66"/>
          </w:tcPr>
          <w:p w14:paraId="1056A116" w14:textId="77777777" w:rsidR="00D167CE" w:rsidRDefault="00D167CE" w:rsidP="00D167CE">
            <w:pPr>
              <w:spacing w:before="60" w:after="60"/>
              <w:jc w:val="both"/>
              <w:rPr>
                <w:b/>
                <w:bCs/>
              </w:rPr>
            </w:pPr>
            <w:r>
              <w:rPr>
                <w:b/>
                <w:bCs/>
              </w:rPr>
              <w:t>FDI</w:t>
            </w:r>
          </w:p>
          <w:p w14:paraId="1056A117" w14:textId="77777777" w:rsidR="00D167CE" w:rsidRPr="006E1528" w:rsidRDefault="00D167CE" w:rsidP="00D167CE">
            <w:pPr>
              <w:spacing w:before="60" w:after="60"/>
              <w:jc w:val="both"/>
              <w:rPr>
                <w:bCs/>
              </w:rPr>
            </w:pPr>
            <w:r>
              <w:rPr>
                <w:bCs/>
              </w:rPr>
              <w:t>Foreign Direct Investments</w:t>
            </w:r>
          </w:p>
        </w:tc>
        <w:tc>
          <w:tcPr>
            <w:tcW w:w="3638" w:type="dxa"/>
            <w:tcBorders>
              <w:top w:val="single" w:sz="8" w:space="0" w:color="FF0000"/>
              <w:left w:val="single" w:sz="8" w:space="0" w:color="FF0000"/>
              <w:bottom w:val="single" w:sz="8" w:space="0" w:color="FF0000"/>
              <w:right w:val="single" w:sz="8" w:space="0" w:color="FF0000"/>
            </w:tcBorders>
            <w:shd w:val="clear" w:color="auto" w:fill="auto"/>
          </w:tcPr>
          <w:p w14:paraId="1056A118" w14:textId="77777777" w:rsidR="00D167CE" w:rsidRDefault="00D167CE" w:rsidP="00D167CE">
            <w:pPr>
              <w:spacing w:before="60" w:after="60"/>
              <w:jc w:val="both"/>
            </w:pPr>
            <w:r>
              <w:t>OECD</w:t>
            </w:r>
          </w:p>
          <w:p w14:paraId="1056A119" w14:textId="77777777" w:rsidR="00FB714B" w:rsidRDefault="0010202A" w:rsidP="00D167CE">
            <w:pPr>
              <w:spacing w:before="60" w:after="60"/>
              <w:jc w:val="both"/>
            </w:pPr>
            <w:hyperlink r:id="rId10" w:history="1">
              <w:r w:rsidR="00FB714B" w:rsidRPr="00E415F4">
                <w:rPr>
                  <w:rStyle w:val="Hyperlink"/>
                </w:rPr>
                <w:t>FDI-SDMX</w:t>
              </w:r>
              <w:r w:rsidR="00FB714B" w:rsidRPr="004856AC">
                <w:rPr>
                  <w:rStyle w:val="Hyperlink"/>
                </w:rPr>
                <w:t>@oecd.org</w:t>
              </w:r>
            </w:hyperlink>
          </w:p>
        </w:tc>
        <w:tc>
          <w:tcPr>
            <w:tcW w:w="2293" w:type="dxa"/>
            <w:tcBorders>
              <w:top w:val="single" w:sz="8" w:space="0" w:color="FF0000"/>
              <w:left w:val="single" w:sz="8" w:space="0" w:color="FF0000"/>
              <w:bottom w:val="single" w:sz="8" w:space="0" w:color="FF0000"/>
              <w:right w:val="single" w:sz="8" w:space="0" w:color="FF0000"/>
            </w:tcBorders>
            <w:shd w:val="clear" w:color="auto" w:fill="auto"/>
          </w:tcPr>
          <w:p w14:paraId="1056A11A" w14:textId="77777777" w:rsidR="00D167CE" w:rsidRDefault="00D167CE" w:rsidP="00D167CE">
            <w:pPr>
              <w:spacing w:before="60" w:after="60"/>
            </w:pPr>
            <w:r>
              <w:t xml:space="preserve">WGIIS </w:t>
            </w:r>
            <w:r>
              <w:rPr>
                <w:rStyle w:val="FootnoteReference"/>
              </w:rPr>
              <w:footnoteReference w:id="4"/>
            </w:r>
          </w:p>
        </w:tc>
      </w:tr>
      <w:tr w:rsidR="00D167CE" w:rsidRPr="003611CA" w14:paraId="1056A121" w14:textId="77777777" w:rsidTr="00FC17C6">
        <w:trPr>
          <w:cantSplit/>
        </w:trPr>
        <w:tc>
          <w:tcPr>
            <w:tcW w:w="2802" w:type="dxa"/>
            <w:tcBorders>
              <w:top w:val="single" w:sz="8" w:space="0" w:color="FF0000"/>
              <w:left w:val="single" w:sz="8" w:space="0" w:color="FF0000"/>
              <w:bottom w:val="single" w:sz="8" w:space="0" w:color="FF0000"/>
              <w:right w:val="single" w:sz="8" w:space="0" w:color="FF0000"/>
            </w:tcBorders>
            <w:shd w:val="clear" w:color="auto" w:fill="FBD4B4" w:themeFill="accent6" w:themeFillTint="66"/>
          </w:tcPr>
          <w:p w14:paraId="1056A11C" w14:textId="77777777" w:rsidR="00D167CE" w:rsidRDefault="00D167CE" w:rsidP="00D167CE">
            <w:pPr>
              <w:spacing w:before="60" w:after="60"/>
              <w:jc w:val="both"/>
              <w:rPr>
                <w:b/>
                <w:bCs/>
              </w:rPr>
            </w:pPr>
            <w:r>
              <w:rPr>
                <w:b/>
                <w:bCs/>
              </w:rPr>
              <w:t>NA</w:t>
            </w:r>
          </w:p>
          <w:p w14:paraId="1056A11D" w14:textId="77777777" w:rsidR="00D167CE" w:rsidRPr="003611CA" w:rsidRDefault="00D167CE" w:rsidP="00D167CE">
            <w:pPr>
              <w:spacing w:before="60" w:after="60"/>
              <w:rPr>
                <w:b/>
                <w:bCs/>
              </w:rPr>
            </w:pPr>
            <w:r>
              <w:rPr>
                <w:bCs/>
              </w:rPr>
              <w:t>National Accounts</w:t>
            </w:r>
            <w:r>
              <w:rPr>
                <w:bCs/>
              </w:rPr>
              <w:br/>
            </w:r>
            <w:r w:rsidRPr="00347302">
              <w:rPr>
                <w:bCs/>
                <w:sz w:val="18"/>
              </w:rPr>
              <w:t>incl. G</w:t>
            </w:r>
            <w:r>
              <w:rPr>
                <w:bCs/>
                <w:sz w:val="18"/>
              </w:rPr>
              <w:t>overnment Finance Statistics</w:t>
            </w:r>
          </w:p>
        </w:tc>
        <w:tc>
          <w:tcPr>
            <w:tcW w:w="3638" w:type="dxa"/>
            <w:tcBorders>
              <w:top w:val="single" w:sz="8" w:space="0" w:color="FF0000"/>
              <w:left w:val="single" w:sz="8" w:space="0" w:color="FF0000"/>
              <w:bottom w:val="single" w:sz="8" w:space="0" w:color="FF0000"/>
              <w:right w:val="single" w:sz="8" w:space="0" w:color="FF0000"/>
            </w:tcBorders>
            <w:shd w:val="clear" w:color="auto" w:fill="auto"/>
          </w:tcPr>
          <w:p w14:paraId="1056A11E" w14:textId="77777777" w:rsidR="00D167CE" w:rsidRDefault="00CA6D7B" w:rsidP="00D167CE">
            <w:pPr>
              <w:spacing w:before="60" w:after="60"/>
              <w:jc w:val="both"/>
            </w:pPr>
            <w:r>
              <w:t>ESTAT</w:t>
            </w:r>
          </w:p>
          <w:p w14:paraId="1056A11F" w14:textId="77777777" w:rsidR="00FB714B" w:rsidRPr="003611CA" w:rsidRDefault="0010202A" w:rsidP="00D167CE">
            <w:pPr>
              <w:spacing w:before="60" w:after="60"/>
              <w:jc w:val="both"/>
            </w:pPr>
            <w:hyperlink r:id="rId11" w:history="1">
              <w:r w:rsidR="00FB714B" w:rsidRPr="00F35DC8">
                <w:rPr>
                  <w:rStyle w:val="Hyperlink"/>
                </w:rPr>
                <w:t>ESTAT-Support-SDMX@ec.europa.eu</w:t>
              </w:r>
            </w:hyperlink>
          </w:p>
        </w:tc>
        <w:tc>
          <w:tcPr>
            <w:tcW w:w="2293" w:type="dxa"/>
            <w:tcBorders>
              <w:top w:val="single" w:sz="8" w:space="0" w:color="FF0000"/>
              <w:left w:val="single" w:sz="8" w:space="0" w:color="FF0000"/>
              <w:bottom w:val="single" w:sz="8" w:space="0" w:color="FF0000"/>
              <w:right w:val="single" w:sz="8" w:space="0" w:color="FF0000"/>
            </w:tcBorders>
            <w:shd w:val="clear" w:color="auto" w:fill="auto"/>
          </w:tcPr>
          <w:p w14:paraId="1056A120" w14:textId="77777777" w:rsidR="00D167CE" w:rsidRPr="003611CA" w:rsidRDefault="00D167CE" w:rsidP="00D167CE">
            <w:pPr>
              <w:spacing w:before="60" w:after="60"/>
            </w:pPr>
            <w:r>
              <w:t xml:space="preserve">ISWGNA </w:t>
            </w:r>
            <w:r>
              <w:rPr>
                <w:rStyle w:val="FootnoteReference"/>
              </w:rPr>
              <w:footnoteReference w:id="5"/>
            </w:r>
          </w:p>
        </w:tc>
      </w:tr>
      <w:tr w:rsidR="00D167CE" w:rsidRPr="003611CA" w14:paraId="1056A126" w14:textId="77777777" w:rsidTr="00FC17C6">
        <w:trPr>
          <w:cantSplit/>
        </w:trPr>
        <w:tc>
          <w:tcPr>
            <w:tcW w:w="2802" w:type="dxa"/>
            <w:tcBorders>
              <w:top w:val="single" w:sz="8" w:space="0" w:color="FF0000"/>
              <w:left w:val="single" w:sz="8" w:space="0" w:color="FF0000"/>
              <w:bottom w:val="single" w:sz="8" w:space="0" w:color="FF0000"/>
              <w:right w:val="single" w:sz="8" w:space="0" w:color="FF0000"/>
            </w:tcBorders>
            <w:shd w:val="clear" w:color="auto" w:fill="FBD4B4" w:themeFill="accent6" w:themeFillTint="66"/>
          </w:tcPr>
          <w:p w14:paraId="1056A122" w14:textId="77777777" w:rsidR="00D167CE" w:rsidRDefault="00D167CE" w:rsidP="00D167CE">
            <w:pPr>
              <w:spacing w:before="60" w:after="60"/>
              <w:jc w:val="both"/>
              <w:rPr>
                <w:b/>
                <w:bCs/>
              </w:rPr>
            </w:pPr>
            <w:r>
              <w:rPr>
                <w:b/>
                <w:bCs/>
              </w:rPr>
              <w:t>PRICE</w:t>
            </w:r>
          </w:p>
          <w:p w14:paraId="1056A123" w14:textId="77777777" w:rsidR="00D167CE" w:rsidRPr="000B788F" w:rsidRDefault="00D167CE" w:rsidP="00D167CE">
            <w:pPr>
              <w:spacing w:before="60" w:after="60"/>
              <w:jc w:val="both"/>
              <w:rPr>
                <w:bCs/>
              </w:rPr>
            </w:pPr>
            <w:r w:rsidRPr="000B788F">
              <w:rPr>
                <w:bCs/>
              </w:rPr>
              <w:t xml:space="preserve">Price </w:t>
            </w:r>
            <w:r>
              <w:rPr>
                <w:bCs/>
              </w:rPr>
              <w:t>Statistics</w:t>
            </w:r>
          </w:p>
        </w:tc>
        <w:tc>
          <w:tcPr>
            <w:tcW w:w="3638" w:type="dxa"/>
            <w:tcBorders>
              <w:top w:val="single" w:sz="8" w:space="0" w:color="FF0000"/>
              <w:left w:val="single" w:sz="8" w:space="0" w:color="FF0000"/>
              <w:bottom w:val="single" w:sz="8" w:space="0" w:color="FF0000"/>
              <w:right w:val="single" w:sz="8" w:space="0" w:color="FF0000"/>
            </w:tcBorders>
            <w:shd w:val="clear" w:color="auto" w:fill="auto"/>
          </w:tcPr>
          <w:p w14:paraId="1056A124" w14:textId="77777777" w:rsidR="00D167CE" w:rsidRDefault="00FB714B" w:rsidP="00D167CE">
            <w:pPr>
              <w:spacing w:before="60" w:after="60"/>
              <w:jc w:val="both"/>
            </w:pPr>
            <w:r>
              <w:rPr>
                <w:i/>
              </w:rPr>
              <w:t>To be decided</w:t>
            </w:r>
          </w:p>
        </w:tc>
        <w:tc>
          <w:tcPr>
            <w:tcW w:w="2293" w:type="dxa"/>
            <w:tcBorders>
              <w:top w:val="single" w:sz="8" w:space="0" w:color="FF0000"/>
              <w:left w:val="single" w:sz="8" w:space="0" w:color="FF0000"/>
              <w:bottom w:val="single" w:sz="8" w:space="0" w:color="FF0000"/>
              <w:right w:val="single" w:sz="8" w:space="0" w:color="FF0000"/>
            </w:tcBorders>
            <w:shd w:val="clear" w:color="auto" w:fill="auto"/>
          </w:tcPr>
          <w:p w14:paraId="1056A125" w14:textId="77777777" w:rsidR="00D167CE" w:rsidRDefault="00D167CE" w:rsidP="00D167CE">
            <w:pPr>
              <w:spacing w:before="60" w:after="60"/>
            </w:pPr>
            <w:r w:rsidRPr="00FB714B">
              <w:t xml:space="preserve">ISWGP </w:t>
            </w:r>
            <w:r w:rsidRPr="00FB714B">
              <w:rPr>
                <w:rStyle w:val="FootnoteReference"/>
              </w:rPr>
              <w:footnoteReference w:id="6"/>
            </w:r>
          </w:p>
        </w:tc>
      </w:tr>
    </w:tbl>
    <w:p w14:paraId="1056A127" w14:textId="77777777" w:rsidR="00D167CE" w:rsidRDefault="00D167CE" w:rsidP="00D167CE"/>
    <w:p w14:paraId="1056A128" w14:textId="77777777" w:rsidR="00D167CE" w:rsidRDefault="00D167CE" w:rsidP="00EF2D09">
      <w:pPr>
        <w:jc w:val="both"/>
      </w:pPr>
      <w:r>
        <w:t xml:space="preserve">Following the governance principles </w:t>
      </w:r>
      <w:r w:rsidR="001B421F">
        <w:t>out</w:t>
      </w:r>
      <w:r>
        <w:t xml:space="preserve">lined by the SDMX Sponsors, the maintenance agencies </w:t>
      </w:r>
      <w:r w:rsidR="001B421F">
        <w:t xml:space="preserve">only </w:t>
      </w:r>
      <w:r>
        <w:t xml:space="preserve">act </w:t>
      </w:r>
      <w:r w:rsidR="001B421F">
        <w:t>up</w:t>
      </w:r>
      <w:r>
        <w:t xml:space="preserve">on </w:t>
      </w:r>
      <w:r w:rsidR="001B421F">
        <w:t>agreement</w:t>
      </w:r>
      <w:r>
        <w:t xml:space="preserve"> of the Ownership Group</w:t>
      </w:r>
      <w:r w:rsidR="001B421F">
        <w:t>,</w:t>
      </w:r>
      <w:r>
        <w:t xml:space="preserve"> </w:t>
      </w:r>
      <w:r w:rsidR="001B421F">
        <w:t>when</w:t>
      </w:r>
      <w:r>
        <w:t xml:space="preserve"> implement</w:t>
      </w:r>
      <w:r w:rsidR="001B421F">
        <w:t>ing</w:t>
      </w:r>
      <w:r>
        <w:t xml:space="preserve"> changes to the SDMX artefacts and supporting materials.</w:t>
      </w:r>
    </w:p>
    <w:p w14:paraId="1056A129" w14:textId="77777777" w:rsidR="00D167CE" w:rsidRPr="00D167CE" w:rsidRDefault="000B07A7" w:rsidP="00D167CE">
      <w:r>
        <w:lastRenderedPageBreak/>
        <w:t xml:space="preserve">The </w:t>
      </w:r>
      <w:r w:rsidR="001B421F">
        <w:t xml:space="preserve">following principles govern the organisation of the </w:t>
      </w:r>
      <w:r>
        <w:t>Ownership Group:</w:t>
      </w:r>
    </w:p>
    <w:p w14:paraId="1056A12A" w14:textId="77777777" w:rsidR="008C7C97" w:rsidRDefault="007F100E" w:rsidP="00EF2D09">
      <w:pPr>
        <w:pStyle w:val="ListParagraph"/>
        <w:numPr>
          <w:ilvl w:val="0"/>
          <w:numId w:val="2"/>
        </w:numPr>
        <w:jc w:val="both"/>
      </w:pPr>
      <w:r>
        <w:t>The Ownership Group derives its mandate from the SDMX Sponsors. In this respect, t</w:t>
      </w:r>
      <w:r w:rsidR="00D167CE">
        <w:t>he SDMX Sponsor</w:t>
      </w:r>
      <w:r w:rsidR="008C7C97">
        <w:t>s</w:t>
      </w:r>
      <w:r w:rsidR="00D167CE">
        <w:t xml:space="preserve"> </w:t>
      </w:r>
      <w:r w:rsidR="008C7C97">
        <w:t>recognise</w:t>
      </w:r>
      <w:r w:rsidR="00D167CE">
        <w:t xml:space="preserve"> that a single ownership group should cover </w:t>
      </w:r>
      <w:r w:rsidR="000324B7">
        <w:t>domains related to macro-economic statistics</w:t>
      </w:r>
      <w:r w:rsidR="001B421F">
        <w:t>: the “Ownership Group for SDMX in Marco-Economic Statistics”</w:t>
      </w:r>
      <w:r w:rsidR="000324B7">
        <w:t xml:space="preserve">. </w:t>
      </w:r>
      <w:r w:rsidR="00D167CE">
        <w:t xml:space="preserve">The organisations that form part of the </w:t>
      </w:r>
      <w:r w:rsidR="001B421F">
        <w:t>O</w:t>
      </w:r>
      <w:r w:rsidR="00D167CE">
        <w:t xml:space="preserve">wnership </w:t>
      </w:r>
      <w:r w:rsidR="001B421F">
        <w:t>G</w:t>
      </w:r>
      <w:r w:rsidR="00D167CE">
        <w:t xml:space="preserve">roup should ensure a balanced representation of both the content </w:t>
      </w:r>
      <w:r w:rsidR="001B421F">
        <w:t xml:space="preserve">(statistics related) side </w:t>
      </w:r>
      <w:r w:rsidR="00D167CE">
        <w:t xml:space="preserve">and </w:t>
      </w:r>
      <w:r w:rsidR="001B421F">
        <w:t>the technical (</w:t>
      </w:r>
      <w:r w:rsidR="00D167CE">
        <w:t>SDMX</w:t>
      </w:r>
      <w:r w:rsidR="001B421F">
        <w:t>-related)</w:t>
      </w:r>
      <w:r w:rsidR="00D167CE">
        <w:t xml:space="preserve"> side</w:t>
      </w:r>
      <w:r w:rsidR="008C7C97">
        <w:t>.</w:t>
      </w:r>
    </w:p>
    <w:p w14:paraId="1056A12B" w14:textId="77777777" w:rsidR="00F23B2A" w:rsidRDefault="001B421F" w:rsidP="00EF2D09">
      <w:pPr>
        <w:pStyle w:val="ListParagraph"/>
        <w:numPr>
          <w:ilvl w:val="0"/>
          <w:numId w:val="2"/>
        </w:numPr>
        <w:jc w:val="both"/>
      </w:pPr>
      <w:r>
        <w:t xml:space="preserve">The statistics governed by the Ownership Group are </w:t>
      </w:r>
      <w:r w:rsidR="007F100E">
        <w:t xml:space="preserve">explicitly </w:t>
      </w:r>
      <w:r>
        <w:t>limited to the field of macro-economic statistics</w:t>
      </w:r>
      <w:r w:rsidR="007F100E">
        <w:t>, as typically understood</w:t>
      </w:r>
      <w:r>
        <w:t>. Upo</w:t>
      </w:r>
      <w:r w:rsidR="00F23B2A">
        <w:t>n request from organisations represented in the O</w:t>
      </w:r>
      <w:r>
        <w:t xml:space="preserve">wnership </w:t>
      </w:r>
      <w:r w:rsidR="00F23B2A">
        <w:t>G</w:t>
      </w:r>
      <w:r>
        <w:t>roup</w:t>
      </w:r>
      <w:r w:rsidR="00F23B2A">
        <w:t xml:space="preserve"> or the SDMX Sponsors, new statistical domains </w:t>
      </w:r>
      <w:r>
        <w:t xml:space="preserve">within the area of macro-economic statistics </w:t>
      </w:r>
      <w:r w:rsidR="00F23B2A">
        <w:t>may be added to the coverage</w:t>
      </w:r>
      <w:r>
        <w:t xml:space="preserve"> of the above mentioned statistics</w:t>
      </w:r>
      <w:r w:rsidR="001C2E2D">
        <w:t>.</w:t>
      </w:r>
    </w:p>
    <w:p w14:paraId="1056A12C" w14:textId="77777777" w:rsidR="00706B02" w:rsidRDefault="00706B02" w:rsidP="00EF2D09">
      <w:pPr>
        <w:pStyle w:val="ListParagraph"/>
        <w:numPr>
          <w:ilvl w:val="0"/>
          <w:numId w:val="2"/>
        </w:numPr>
        <w:jc w:val="both"/>
      </w:pPr>
      <w:r>
        <w:t>Other IOs - and their respective representatives - can become member of the Ownership Group, upon request by the relevant IO and upon approval by the existing members of the Ownership Group at that time, and subsequent approval by the SDMX Sponsors.</w:t>
      </w:r>
    </w:p>
    <w:p w14:paraId="1056A12D" w14:textId="77777777" w:rsidR="00706B02" w:rsidRPr="00FF46A3" w:rsidRDefault="00706B02" w:rsidP="00EF2D09">
      <w:pPr>
        <w:pStyle w:val="ListParagraph"/>
        <w:numPr>
          <w:ilvl w:val="0"/>
          <w:numId w:val="2"/>
        </w:numPr>
        <w:jc w:val="both"/>
      </w:pPr>
      <w:r>
        <w:t>The chair and the secretariat of the Ownership Group will be established on a rotating basis with a mandate of three years. Starting from January 2014, the OECD is chair of the Ownership Group, while Eurostat provides the secretariat.</w:t>
      </w:r>
    </w:p>
    <w:p w14:paraId="1056A12E" w14:textId="77777777" w:rsidR="008C7C97" w:rsidRDefault="007F100E" w:rsidP="00EF2D09">
      <w:pPr>
        <w:pStyle w:val="ListParagraph"/>
        <w:numPr>
          <w:ilvl w:val="0"/>
          <w:numId w:val="2"/>
        </w:numPr>
        <w:jc w:val="both"/>
      </w:pPr>
      <w:r>
        <w:t>T</w:t>
      </w:r>
      <w:r w:rsidR="008C7C97">
        <w:t xml:space="preserve">he Ownership Group will provide progress reports to the SDMX Sponsors Group on a regular basis, as a minimum once a year, </w:t>
      </w:r>
      <w:r>
        <w:t>or</w:t>
      </w:r>
      <w:r w:rsidR="008C7C97">
        <w:t xml:space="preserve"> when need arises. Issues which affect the statistical areas covered by the Ownership Group, including changes in the composition of the Ownership Group as regards the IOs represented, will </w:t>
      </w:r>
      <w:r w:rsidR="00FE5861">
        <w:t xml:space="preserve">be </w:t>
      </w:r>
      <w:r w:rsidR="008C7C97">
        <w:t>put forward to the SDMX Sponsors Group for approval.</w:t>
      </w:r>
    </w:p>
    <w:p w14:paraId="1056A12F" w14:textId="77777777" w:rsidR="008C7C97" w:rsidRDefault="007F100E" w:rsidP="00EF2D09">
      <w:pPr>
        <w:pStyle w:val="ListParagraph"/>
        <w:numPr>
          <w:ilvl w:val="0"/>
          <w:numId w:val="2"/>
        </w:numPr>
        <w:jc w:val="both"/>
      </w:pPr>
      <w:r>
        <w:t xml:space="preserve">The Ownership Group </w:t>
      </w:r>
      <w:r w:rsidR="004E70D6">
        <w:t>operates through</w:t>
      </w:r>
      <w:r w:rsidR="008C7C97">
        <w:t xml:space="preserve"> maint</w:t>
      </w:r>
      <w:r>
        <w:t>enance</w:t>
      </w:r>
      <w:r w:rsidR="008C7C97">
        <w:t xml:space="preserve"> agencies, one for each statistical domain covered by the Ownership Group. The responsibility of the Maintenance Agency (MA) is to apply agreed changes to the respective DSDs and related artefacts in the SDMX Global Registry</w:t>
      </w:r>
      <w:r w:rsidR="008C7C97">
        <w:rPr>
          <w:rStyle w:val="FootnoteReference"/>
        </w:rPr>
        <w:footnoteReference w:id="7"/>
      </w:r>
      <w:r>
        <w:t>, including taking care of appropriate</w:t>
      </w:r>
      <w:r w:rsidR="008C7C97">
        <w:t xml:space="preserve"> communication </w:t>
      </w:r>
      <w:r>
        <w:t>of</w:t>
      </w:r>
      <w:r w:rsidR="008C7C97">
        <w:t xml:space="preserve"> </w:t>
      </w:r>
      <w:r>
        <w:t xml:space="preserve">the respective </w:t>
      </w:r>
      <w:r w:rsidR="008C7C97">
        <w:t>global DSDs and related packages (guidelines, coding templates</w:t>
      </w:r>
      <w:r w:rsidR="00EF2D09">
        <w:t>, etc.</w:t>
      </w:r>
      <w:r w:rsidR="008C7C97">
        <w:t>)</w:t>
      </w:r>
      <w:r>
        <w:t xml:space="preserve"> on the SDMX website</w:t>
      </w:r>
      <w:r w:rsidR="008C7C97">
        <w:t>. The SDMX Global Registry is the authoritative source for all global DSDs.</w:t>
      </w:r>
    </w:p>
    <w:p w14:paraId="1056A130" w14:textId="77777777" w:rsidR="007F100E" w:rsidRDefault="00D167CE" w:rsidP="00EF2D09">
      <w:pPr>
        <w:pStyle w:val="ListParagraph"/>
        <w:numPr>
          <w:ilvl w:val="0"/>
          <w:numId w:val="2"/>
        </w:numPr>
        <w:jc w:val="both"/>
      </w:pPr>
      <w:r>
        <w:t xml:space="preserve">The Ownership Group has a central role in the governance of the global DSDs for the respective areas of statistics. It functions as the active agent in the </w:t>
      </w:r>
      <w:r w:rsidR="007F100E">
        <w:t xml:space="preserve">compilation and </w:t>
      </w:r>
      <w:r>
        <w:t xml:space="preserve">maintenance of </w:t>
      </w:r>
      <w:r w:rsidR="007F100E">
        <w:t>global</w:t>
      </w:r>
      <w:r>
        <w:t xml:space="preserve"> DSDs under its responsibility</w:t>
      </w:r>
      <w:r w:rsidR="007F100E">
        <w:t>.</w:t>
      </w:r>
      <w:r>
        <w:t xml:space="preserve"> </w:t>
      </w:r>
      <w:r w:rsidR="00706B02">
        <w:t>In compiling new DSDs and/or changing existing DSDs</w:t>
      </w:r>
      <w:r w:rsidR="007F100E">
        <w:t xml:space="preserve">, the Ownership Group will consult other major stakeholders as appropriate. </w:t>
      </w:r>
    </w:p>
    <w:p w14:paraId="1056A131" w14:textId="77777777" w:rsidR="00706B02" w:rsidRDefault="00706B02" w:rsidP="00EF2D09">
      <w:pPr>
        <w:pStyle w:val="ListParagraph"/>
        <w:numPr>
          <w:ilvl w:val="0"/>
          <w:numId w:val="2"/>
        </w:numPr>
        <w:jc w:val="both"/>
      </w:pPr>
      <w:r>
        <w:t>T</w:t>
      </w:r>
      <w:r w:rsidR="007F100E">
        <w:t>he Ownership Group</w:t>
      </w:r>
      <w:r w:rsidR="00D167CE" w:rsidRPr="00E674B9">
        <w:t xml:space="preserve"> </w:t>
      </w:r>
      <w:r>
        <w:t>will</w:t>
      </w:r>
      <w:r w:rsidR="00D167CE">
        <w:t xml:space="preserve"> ensure an appropriate level of coordination between the various Maintenance Agencies. The maintenance of these DSDs occur</w:t>
      </w:r>
      <w:r>
        <w:t>s</w:t>
      </w:r>
      <w:r w:rsidR="00D167CE">
        <w:t xml:space="preserve"> without prejudice to any Ownership Group member’s institution</w:t>
      </w:r>
      <w:r>
        <w:t>al</w:t>
      </w:r>
      <w:r w:rsidR="00D167CE">
        <w:t xml:space="preserve"> activities.</w:t>
      </w:r>
      <w:r w:rsidR="00D167CE" w:rsidRPr="0084783F">
        <w:t xml:space="preserve"> </w:t>
      </w:r>
    </w:p>
    <w:p w14:paraId="1056A132" w14:textId="77777777" w:rsidR="00D167CE" w:rsidRDefault="00D167CE" w:rsidP="00EF2D09">
      <w:pPr>
        <w:pStyle w:val="ListParagraph"/>
        <w:numPr>
          <w:ilvl w:val="0"/>
          <w:numId w:val="2"/>
        </w:numPr>
        <w:jc w:val="both"/>
      </w:pPr>
      <w:r>
        <w:t xml:space="preserve">As members of the Ownership Group </w:t>
      </w:r>
      <w:r w:rsidR="00706B02">
        <w:t xml:space="preserve">usually </w:t>
      </w:r>
      <w:r>
        <w:t xml:space="preserve">have </w:t>
      </w:r>
      <w:r w:rsidR="00B16FA7">
        <w:t xml:space="preserve">a </w:t>
      </w:r>
      <w:r>
        <w:t>competence vis-à-vis their constituency to establish data exchanges, the Ownership Group only has a competence in deciding how any new data flow can be best accommodated in the global DSDs.</w:t>
      </w:r>
    </w:p>
    <w:p w14:paraId="1056A133" w14:textId="77777777" w:rsidR="002A0E84" w:rsidRDefault="00FE5861" w:rsidP="009C6717">
      <w:pPr>
        <w:pStyle w:val="Heading1"/>
      </w:pPr>
      <w:r>
        <w:lastRenderedPageBreak/>
        <w:t>Change Requests</w:t>
      </w:r>
    </w:p>
    <w:p w14:paraId="1056A134" w14:textId="77777777" w:rsidR="002A0E84" w:rsidRDefault="00FD0115" w:rsidP="00C52AF2">
      <w:pPr>
        <w:jc w:val="both"/>
      </w:pPr>
      <w:r w:rsidRPr="00D167CE">
        <w:t>Th</w:t>
      </w:r>
      <w:r w:rsidR="00AF4A53">
        <w:t>e</w:t>
      </w:r>
      <w:r w:rsidR="00651AB2" w:rsidRPr="00D167CE">
        <w:t xml:space="preserve"> </w:t>
      </w:r>
      <w:r w:rsidR="00AF4A53">
        <w:t xml:space="preserve">principles </w:t>
      </w:r>
      <w:r w:rsidR="00FE5861">
        <w:t>for changes</w:t>
      </w:r>
      <w:r w:rsidR="00651AB2" w:rsidRPr="00D167CE">
        <w:t xml:space="preserve"> follow</w:t>
      </w:r>
      <w:r w:rsidRPr="00D167CE">
        <w:t xml:space="preserve"> the guidelines on </w:t>
      </w:r>
      <w:r w:rsidR="00651AB2" w:rsidRPr="00D167CE">
        <w:t xml:space="preserve">the </w:t>
      </w:r>
      <w:r w:rsidRPr="00D167CE">
        <w:t>governance of commonly used SDMX artefacts</w:t>
      </w:r>
      <w:r w:rsidR="0005267A">
        <w:t>, the guidelines on versioning of SDMX artefacts</w:t>
      </w:r>
      <w:r w:rsidR="00D167CE">
        <w:t xml:space="preserve"> and other guidelines available </w:t>
      </w:r>
      <w:r w:rsidR="0005267A">
        <w:t xml:space="preserve">on </w:t>
      </w:r>
      <w:r w:rsidR="00D167CE">
        <w:t>the SDMX</w:t>
      </w:r>
      <w:r w:rsidR="0005267A">
        <w:t xml:space="preserve"> website to the extent possible</w:t>
      </w:r>
      <w:r>
        <w:t>.</w:t>
      </w:r>
      <w:r w:rsidR="009C6717">
        <w:t xml:space="preserve"> </w:t>
      </w:r>
      <w:r w:rsidR="00651AB2">
        <w:t>In a</w:t>
      </w:r>
      <w:r>
        <w:t>ddition, t</w:t>
      </w:r>
      <w:r w:rsidR="002A0E84">
        <w:t xml:space="preserve">he </w:t>
      </w:r>
      <w:r w:rsidR="00651AB2">
        <w:t xml:space="preserve">following </w:t>
      </w:r>
      <w:r w:rsidR="002A0E84">
        <w:t>points are agreed</w:t>
      </w:r>
      <w:r w:rsidR="00097F15">
        <w:t>:</w:t>
      </w:r>
    </w:p>
    <w:p w14:paraId="1056A135" w14:textId="77777777" w:rsidR="009E4E54" w:rsidRDefault="00B02542" w:rsidP="00C52AF2">
      <w:pPr>
        <w:pStyle w:val="ListParagraph"/>
        <w:numPr>
          <w:ilvl w:val="0"/>
          <w:numId w:val="2"/>
        </w:numPr>
        <w:jc w:val="both"/>
      </w:pPr>
      <w:r>
        <w:t>C</w:t>
      </w:r>
      <w:r w:rsidR="002A0E84">
        <w:t xml:space="preserve">hange requests: the </w:t>
      </w:r>
      <w:r w:rsidR="00651AB2">
        <w:t xml:space="preserve">respective </w:t>
      </w:r>
      <w:r w:rsidR="002A0E84">
        <w:t xml:space="preserve">maintenance agency will only apply changes which are </w:t>
      </w:r>
      <w:r>
        <w:t xml:space="preserve">agreed upon </w:t>
      </w:r>
      <w:r w:rsidR="002A0E84">
        <w:t xml:space="preserve">by the </w:t>
      </w:r>
      <w:r w:rsidR="0005267A">
        <w:t>O</w:t>
      </w:r>
      <w:r w:rsidR="002A0E84">
        <w:t xml:space="preserve">wnership </w:t>
      </w:r>
      <w:r w:rsidR="0005267A">
        <w:t>G</w:t>
      </w:r>
      <w:r w:rsidR="002A0E84">
        <w:t xml:space="preserve">roup. </w:t>
      </w:r>
      <w:r w:rsidR="00AB24F0">
        <w:t xml:space="preserve">Agreements are </w:t>
      </w:r>
      <w:r w:rsidR="00651AB2">
        <w:t xml:space="preserve">to be </w:t>
      </w:r>
      <w:r w:rsidR="00AB24F0">
        <w:t>based on consensus.</w:t>
      </w:r>
      <w:r w:rsidR="009E4E54" w:rsidRPr="009E4E54">
        <w:t xml:space="preserve"> </w:t>
      </w:r>
      <w:r w:rsidR="009E4E54">
        <w:t xml:space="preserve">If, in exceptional cases, consensus shows to be impossible, decisions will be taken on the basis of a qualified majority, i.e. two thirds of the IOs being member of the Ownership Group. </w:t>
      </w:r>
      <w:r w:rsidR="0005267A">
        <w:t>In case of</w:t>
      </w:r>
      <w:r w:rsidR="009E4E54">
        <w:t xml:space="preserve"> major issue</w:t>
      </w:r>
      <w:r w:rsidR="0005267A">
        <w:t>s</w:t>
      </w:r>
      <w:r w:rsidR="009E4E54">
        <w:t xml:space="preserve">, the Ownership Group may decide to </w:t>
      </w:r>
      <w:r w:rsidR="0005267A">
        <w:t xml:space="preserve">consult the </w:t>
      </w:r>
      <w:r w:rsidR="009E4E54">
        <w:t xml:space="preserve">SDMX Sponsors </w:t>
      </w:r>
      <w:r w:rsidR="0005267A">
        <w:t>for a final decision</w:t>
      </w:r>
      <w:r w:rsidR="009E4E54">
        <w:t>.</w:t>
      </w:r>
    </w:p>
    <w:p w14:paraId="1056A136" w14:textId="77777777" w:rsidR="00A00EFB" w:rsidRDefault="00A00EFB" w:rsidP="00C52AF2">
      <w:pPr>
        <w:pStyle w:val="ListParagraph"/>
        <w:numPr>
          <w:ilvl w:val="0"/>
          <w:numId w:val="2"/>
        </w:numPr>
        <w:jc w:val="both"/>
      </w:pPr>
      <w:bookmarkStart w:id="0" w:name="_Ref380748146"/>
      <w:r>
        <w:t xml:space="preserve">Three types of changes are foreseen: </w:t>
      </w:r>
      <w:r w:rsidR="00B71C15">
        <w:t xml:space="preserve">multi-annual </w:t>
      </w:r>
      <w:r>
        <w:t>structural changes, annual maintenance changes and fast-track maintenance changes:</w:t>
      </w:r>
    </w:p>
    <w:p w14:paraId="1056A137" w14:textId="77777777" w:rsidR="00A00EFB" w:rsidRDefault="00B71C15" w:rsidP="00C52AF2">
      <w:pPr>
        <w:pStyle w:val="ListParagraph"/>
        <w:numPr>
          <w:ilvl w:val="1"/>
          <w:numId w:val="2"/>
        </w:numPr>
        <w:jc w:val="both"/>
      </w:pPr>
      <w:r>
        <w:t>Multi-annual s</w:t>
      </w:r>
      <w:r w:rsidR="00A00EFB">
        <w:t xml:space="preserve">tructural changes </w:t>
      </w:r>
      <w:r w:rsidR="00B859D7">
        <w:t>are generally</w:t>
      </w:r>
      <w:r w:rsidR="00A00EFB">
        <w:t xml:space="preserve"> triggered by changes in methodological guidelines or </w:t>
      </w:r>
      <w:r w:rsidR="00B859D7">
        <w:t>by</w:t>
      </w:r>
      <w:r w:rsidR="00A00EFB">
        <w:t xml:space="preserve"> a comprehensive review of the content of official data flows. This would involve a </w:t>
      </w:r>
      <w:r w:rsidR="00FB3A62">
        <w:t>full</w:t>
      </w:r>
      <w:r w:rsidR="00A00EFB">
        <w:t xml:space="preserve"> review of the entire set of DSDs</w:t>
      </w:r>
      <w:r w:rsidR="00FB3A62">
        <w:t>, including possible restructuring</w:t>
      </w:r>
      <w:r w:rsidR="005F58CD">
        <w:t xml:space="preserve">, deletion </w:t>
      </w:r>
      <w:r w:rsidR="00FB3A62">
        <w:t>or replacing of concepts</w:t>
      </w:r>
      <w:r w:rsidR="00530A95">
        <w:t>,</w:t>
      </w:r>
      <w:r w:rsidR="00FB3A62">
        <w:t xml:space="preserve"> code lists</w:t>
      </w:r>
      <w:r w:rsidR="00530A95">
        <w:t xml:space="preserve"> and codes.</w:t>
      </w:r>
      <w:r w:rsidR="00FB3A62">
        <w:t xml:space="preserve"> </w:t>
      </w:r>
      <w:r w:rsidR="00530A95">
        <w:t xml:space="preserve">These </w:t>
      </w:r>
      <w:r w:rsidR="00FB3A62">
        <w:t xml:space="preserve">will only be </w:t>
      </w:r>
      <w:r w:rsidR="00530A95">
        <w:t xml:space="preserve">implemented after </w:t>
      </w:r>
      <w:r w:rsidR="00A00EFB">
        <w:t>extensive consultations</w:t>
      </w:r>
      <w:r w:rsidR="00530A95">
        <w:t xml:space="preserve"> of all affected institutions and constituencies</w:t>
      </w:r>
      <w:r w:rsidR="00FB3A62">
        <w:t>.</w:t>
      </w:r>
    </w:p>
    <w:p w14:paraId="1056A138" w14:textId="77777777" w:rsidR="00A00EFB" w:rsidRDefault="00FB3A62" w:rsidP="00C52AF2">
      <w:pPr>
        <w:pStyle w:val="ListParagraph"/>
        <w:numPr>
          <w:ilvl w:val="1"/>
          <w:numId w:val="2"/>
        </w:numPr>
        <w:jc w:val="both"/>
      </w:pPr>
      <w:r>
        <w:t xml:space="preserve">Annual maintenance changes could be proposed by anybody, and would serve the purpose of allowing for new data exchange needs by any party. </w:t>
      </w:r>
      <w:r w:rsidR="00530A95">
        <w:t xml:space="preserve">Only changes not impacting on the backwards compatibility of the relevant DSDs and having </w:t>
      </w:r>
      <w:r w:rsidR="00DF5333">
        <w:t>limited</w:t>
      </w:r>
      <w:r w:rsidR="00530A95">
        <w:t xml:space="preserve"> impact to existing data flows can be issued as annual revisions. </w:t>
      </w:r>
      <w:r w:rsidR="005F58CD">
        <w:t xml:space="preserve"> </w:t>
      </w:r>
    </w:p>
    <w:p w14:paraId="1056A139" w14:textId="77777777" w:rsidR="002A0E84" w:rsidRDefault="00A00EFB" w:rsidP="00C52AF2">
      <w:pPr>
        <w:pStyle w:val="ListParagraph"/>
        <w:numPr>
          <w:ilvl w:val="1"/>
          <w:numId w:val="2"/>
        </w:numPr>
        <w:jc w:val="both"/>
      </w:pPr>
      <w:r>
        <w:t>F</w:t>
      </w:r>
      <w:r w:rsidR="002A0E84">
        <w:t xml:space="preserve">ast-track </w:t>
      </w:r>
      <w:r>
        <w:t>maintenance changes</w:t>
      </w:r>
      <w:r w:rsidR="002A0E84">
        <w:t xml:space="preserve"> can be </w:t>
      </w:r>
      <w:r w:rsidR="00FB3A62">
        <w:t xml:space="preserve">proposed </w:t>
      </w:r>
      <w:r w:rsidR="002A0E84">
        <w:t>by any of the organisations</w:t>
      </w:r>
      <w:r w:rsidR="00FB3A62">
        <w:t xml:space="preserve"> represented</w:t>
      </w:r>
      <w:r w:rsidR="00342518">
        <w:t xml:space="preserve"> in the </w:t>
      </w:r>
      <w:r w:rsidR="0005267A">
        <w:t>O</w:t>
      </w:r>
      <w:r w:rsidR="00342518">
        <w:t xml:space="preserve">wnership </w:t>
      </w:r>
      <w:r w:rsidR="0005267A">
        <w:t>G</w:t>
      </w:r>
      <w:r w:rsidR="00342518">
        <w:t>roup</w:t>
      </w:r>
      <w:r w:rsidR="002A0E84">
        <w:t xml:space="preserve">. Only changes not </w:t>
      </w:r>
      <w:r w:rsidR="00B859D7">
        <w:t>impacting on the</w:t>
      </w:r>
      <w:r w:rsidR="002A0E84">
        <w:t xml:space="preserve"> backwards compatibility</w:t>
      </w:r>
      <w:r w:rsidR="00B859D7">
        <w:t xml:space="preserve"> of the relevant DSDs</w:t>
      </w:r>
      <w:r w:rsidR="0005267A">
        <w:t xml:space="preserve"> and </w:t>
      </w:r>
      <w:r w:rsidR="00B859D7">
        <w:t>having</w:t>
      </w:r>
      <w:r w:rsidR="0005267A">
        <w:t xml:space="preserve"> limited impact to existing data</w:t>
      </w:r>
      <w:r w:rsidR="00B859D7">
        <w:t xml:space="preserve"> </w:t>
      </w:r>
      <w:r w:rsidR="0005267A">
        <w:t>flows</w:t>
      </w:r>
      <w:r w:rsidR="002A0E84">
        <w:t xml:space="preserve"> can be </w:t>
      </w:r>
      <w:r w:rsidR="002A0E84" w:rsidRPr="00DF5333">
        <w:t xml:space="preserve">issued as fast-track. Fast-track changes follow </w:t>
      </w:r>
      <w:r w:rsidR="00FE5861" w:rsidRPr="00DF5333">
        <w:t>a similar</w:t>
      </w:r>
      <w:r w:rsidR="002A0E84" w:rsidRPr="00DF5333">
        <w:t xml:space="preserve"> change management process </w:t>
      </w:r>
      <w:r w:rsidR="007A78E7" w:rsidRPr="00DF5333">
        <w:t>as normal</w:t>
      </w:r>
      <w:r w:rsidR="005F58CD" w:rsidRPr="00DF5333">
        <w:t xml:space="preserve"> annual </w:t>
      </w:r>
      <w:r w:rsidR="007A78E7" w:rsidRPr="00DF5333">
        <w:t>changes</w:t>
      </w:r>
      <w:r w:rsidR="00DF5333">
        <w:t>,</w:t>
      </w:r>
      <w:r w:rsidR="007A78E7">
        <w:t xml:space="preserve"> </w:t>
      </w:r>
      <w:r w:rsidR="002A0E84">
        <w:t>but are applied with immediate effect if approved</w:t>
      </w:r>
      <w:r w:rsidR="00FE5861">
        <w:t>.</w:t>
      </w:r>
      <w:r w:rsidR="002A0E84">
        <w:t xml:space="preserve"> </w:t>
      </w:r>
      <w:r w:rsidR="00FE5861">
        <w:t xml:space="preserve">They do </w:t>
      </w:r>
      <w:r w:rsidR="002A0E84">
        <w:t xml:space="preserve">not </w:t>
      </w:r>
      <w:r w:rsidR="00651AB2">
        <w:t xml:space="preserve">need to </w:t>
      </w:r>
      <w:r w:rsidR="002A0E84">
        <w:t>wait until the next annual maintenance cycle</w:t>
      </w:r>
      <w:r w:rsidR="00FE5861">
        <w:t xml:space="preserve"> and consultations with constituencies are do</w:t>
      </w:r>
      <w:r w:rsidR="00C52AF2">
        <w:t>n</w:t>
      </w:r>
      <w:r w:rsidR="00FE5861">
        <w:t>e in a limited way depending on the impact of the change</w:t>
      </w:r>
      <w:r w:rsidR="002A0E84">
        <w:t>.</w:t>
      </w:r>
      <w:r w:rsidR="000918B5">
        <w:t xml:space="preserve"> </w:t>
      </w:r>
      <w:bookmarkEnd w:id="0"/>
      <w:r w:rsidR="00FB3A62">
        <w:t>Fast-track change requests are subject to review in the following annual maintenance cycle.</w:t>
      </w:r>
    </w:p>
    <w:p w14:paraId="1056A13A" w14:textId="77777777" w:rsidR="002A0E84" w:rsidRDefault="00FE5861" w:rsidP="00C52AF2">
      <w:pPr>
        <w:pStyle w:val="ListParagraph"/>
        <w:numPr>
          <w:ilvl w:val="0"/>
          <w:numId w:val="2"/>
        </w:numPr>
        <w:jc w:val="both"/>
      </w:pPr>
      <w:r>
        <w:t xml:space="preserve">All change requests are analysed and assessed with due care. In particular, the Ownership Group will ensure consultation with the respective domain groups responsible for the statistical methodology underlying the domain. In particular, the domain groups mentioned as "major stakeholders" will play a role in the final approval process of structural and annual maintenance changes, recognizing the role they play in developing the manuals setting forth the methodology for the respective domains. </w:t>
      </w:r>
      <w:r w:rsidR="00B859D7">
        <w:t>The v</w:t>
      </w:r>
      <w:r w:rsidR="002A0E84">
        <w:t>ersioning</w:t>
      </w:r>
      <w:r w:rsidR="004B1932">
        <w:t xml:space="preserve"> </w:t>
      </w:r>
      <w:r w:rsidR="00B859D7">
        <w:t xml:space="preserve">of the </w:t>
      </w:r>
      <w:r w:rsidR="00D26860">
        <w:t>global DSDs will be done in accordance with</w:t>
      </w:r>
      <w:r w:rsidR="004B1932">
        <w:t xml:space="preserve"> the SDMX versioning guidelines</w:t>
      </w:r>
      <w:r w:rsidR="002A0E84">
        <w:t>.</w:t>
      </w:r>
      <w:r w:rsidR="004B1932">
        <w:rPr>
          <w:rStyle w:val="FootnoteReference"/>
        </w:rPr>
        <w:footnoteReference w:id="8"/>
      </w:r>
    </w:p>
    <w:p w14:paraId="1056A13B" w14:textId="77777777" w:rsidR="002A0E84" w:rsidRDefault="002A0E84" w:rsidP="00C52AF2">
      <w:pPr>
        <w:pStyle w:val="ListParagraph"/>
        <w:numPr>
          <w:ilvl w:val="0"/>
          <w:numId w:val="2"/>
        </w:numPr>
        <w:jc w:val="both"/>
      </w:pPr>
      <w:r>
        <w:t xml:space="preserve">If change requests to cross-domain artefacts are filed to one of the maintenance agencies, </w:t>
      </w:r>
      <w:r w:rsidR="00864FE7">
        <w:t xml:space="preserve">all other maintenance agencies will be informed and </w:t>
      </w:r>
      <w:r>
        <w:t xml:space="preserve">the request will be forwarded to the SDMX </w:t>
      </w:r>
      <w:r w:rsidR="00D26860">
        <w:t>Statistical Working Group (</w:t>
      </w:r>
      <w:r w:rsidR="00F23B2A">
        <w:t>SWG</w:t>
      </w:r>
      <w:r w:rsidR="00D26860">
        <w:t>)</w:t>
      </w:r>
      <w:r>
        <w:t xml:space="preserve"> as a general change request. In case the change is approved by the </w:t>
      </w:r>
      <w:r w:rsidR="00F23B2A">
        <w:t>O</w:t>
      </w:r>
      <w:r w:rsidR="006717A3">
        <w:t>wnership</w:t>
      </w:r>
      <w:r>
        <w:t xml:space="preserve"> </w:t>
      </w:r>
      <w:r w:rsidR="00F23B2A">
        <w:t>G</w:t>
      </w:r>
      <w:r>
        <w:t>roup but rejected by the SDMX SWG for general use, the artefact might be moved from "cross-domain" to "cross-domain based shared"</w:t>
      </w:r>
      <w:r w:rsidR="00D26860">
        <w:t>,</w:t>
      </w:r>
      <w:r>
        <w:t xml:space="preserve"> in order to accommodate changes which are of interest for </w:t>
      </w:r>
      <w:r w:rsidR="00F23B2A">
        <w:t>the domains under responsibility of the O</w:t>
      </w:r>
      <w:r w:rsidR="00D26860">
        <w:t xml:space="preserve">wnership </w:t>
      </w:r>
      <w:r w:rsidR="00F23B2A">
        <w:t>G</w:t>
      </w:r>
      <w:r w:rsidR="00D26860">
        <w:t>roup</w:t>
      </w:r>
      <w:r>
        <w:t xml:space="preserve">. </w:t>
      </w:r>
      <w:r w:rsidR="00FE5861">
        <w:t xml:space="preserve">The same approach is followed for </w:t>
      </w:r>
      <w:r w:rsidR="00FE5861">
        <w:lastRenderedPageBreak/>
        <w:t>fast</w:t>
      </w:r>
      <w:r>
        <w:t>-track changes requir</w:t>
      </w:r>
      <w:r w:rsidR="00D26860">
        <w:t>ing a</w:t>
      </w:r>
      <w:r>
        <w:t xml:space="preserve"> quicker </w:t>
      </w:r>
      <w:r w:rsidR="00D26860">
        <w:t xml:space="preserve">agreement and finalisation </w:t>
      </w:r>
      <w:r>
        <w:t xml:space="preserve">than the SMDX SWG </w:t>
      </w:r>
      <w:r w:rsidR="00FE5861">
        <w:t>approval cycle.</w:t>
      </w:r>
    </w:p>
    <w:p w14:paraId="1056A13C" w14:textId="77777777" w:rsidR="006752D5" w:rsidRDefault="006752D5" w:rsidP="008A5578">
      <w:pPr>
        <w:pStyle w:val="Heading1"/>
      </w:pPr>
      <w:r>
        <w:t xml:space="preserve">Technical </w:t>
      </w:r>
      <w:r w:rsidR="000B07A7">
        <w:t>Arrangements</w:t>
      </w:r>
    </w:p>
    <w:p w14:paraId="1056A13D" w14:textId="77777777" w:rsidR="006752D5" w:rsidRDefault="006752D5" w:rsidP="00C52AF2">
      <w:pPr>
        <w:pStyle w:val="ListParagraph"/>
        <w:numPr>
          <w:ilvl w:val="0"/>
          <w:numId w:val="2"/>
        </w:numPr>
        <w:jc w:val="both"/>
      </w:pPr>
      <w:r>
        <w:t xml:space="preserve">The Ownership Group will be supported by a Technical Group, consisting of experts </w:t>
      </w:r>
      <w:r w:rsidR="00296B34">
        <w:t xml:space="preserve">from relevant IOs </w:t>
      </w:r>
      <w:r>
        <w:t>with significant technical and content-related expertise. In elaborating rather specific issues, the Technical Group may apply break-out meetings for a smaller number of experts in the relevant subject or domain oriented statistical area.</w:t>
      </w:r>
    </w:p>
    <w:p w14:paraId="1056A13E" w14:textId="77777777" w:rsidR="006752D5" w:rsidRDefault="006752D5" w:rsidP="00C52AF2">
      <w:pPr>
        <w:pStyle w:val="ListParagraph"/>
        <w:numPr>
          <w:ilvl w:val="0"/>
          <w:numId w:val="2"/>
        </w:numPr>
        <w:jc w:val="both"/>
      </w:pPr>
      <w:r>
        <w:t>The Technical Group will provide, at the request of the Ownership Group, advice on various issues related to the further development and the implementation of the global DSDs in practice. It may also raise issues for consideration at the Ownership Group at its own initiative, when deemed necessary. If the members of the Technical Group cannot arrive at a consensus, they can escalate issues to the Ownership Group, on the basis of a clear and concise document with the various alternatives and their pros and cons.</w:t>
      </w:r>
      <w:r w:rsidR="004907CB">
        <w:t xml:space="preserve"> The Technical Group can also forward any request to the SDMX Technical Working Group (TWG) for purposes of clarification, when deemed helpful to facilitate a decision.</w:t>
      </w:r>
    </w:p>
    <w:p w14:paraId="1056A13F" w14:textId="77777777" w:rsidR="006752D5" w:rsidRDefault="006752D5" w:rsidP="00C52AF2">
      <w:pPr>
        <w:pStyle w:val="ListParagraph"/>
        <w:numPr>
          <w:ilvl w:val="0"/>
          <w:numId w:val="2"/>
        </w:numPr>
        <w:jc w:val="both"/>
      </w:pPr>
      <w:r>
        <w:t>In order to assess whether or not the p</w:t>
      </w:r>
      <w:r w:rsidR="00F23B2A">
        <w:t>roposed changes impact any data</w:t>
      </w:r>
      <w:r w:rsidR="00296B34">
        <w:t xml:space="preserve"> </w:t>
      </w:r>
      <w:r>
        <w:t>flow that is under the direct responsibility of the Ownership Group, the Ownership Group</w:t>
      </w:r>
      <w:r w:rsidR="00C52AF2">
        <w:t>,</w:t>
      </w:r>
      <w:r>
        <w:t xml:space="preserve"> by means of its Technical Group</w:t>
      </w:r>
      <w:r w:rsidR="00C52AF2">
        <w:t>,</w:t>
      </w:r>
      <w:r>
        <w:t xml:space="preserve"> should maintain a data flow matrix and respective </w:t>
      </w:r>
      <w:r w:rsidR="00F23B2A">
        <w:t>data</w:t>
      </w:r>
      <w:r w:rsidR="00C52AF2">
        <w:t xml:space="preserve"> </w:t>
      </w:r>
      <w:r>
        <w:t>flow and constraint artefacts in the Global SDMX Registry, cross tabulating individual data</w:t>
      </w:r>
      <w:r w:rsidR="00296B34">
        <w:t xml:space="preserve"> </w:t>
      </w:r>
      <w:r>
        <w:t>flows and concepts. In this respect, it should be noted that data</w:t>
      </w:r>
      <w:r w:rsidR="00296B34">
        <w:t xml:space="preserve"> </w:t>
      </w:r>
      <w:r>
        <w:t>flows that are not fully documented cannot be assessed regard</w:t>
      </w:r>
      <w:r w:rsidR="00296B34">
        <w:t>ing</w:t>
      </w:r>
      <w:r>
        <w:t xml:space="preserve"> the impact </w:t>
      </w:r>
      <w:r w:rsidR="00296B34">
        <w:t>of</w:t>
      </w:r>
      <w:r>
        <w:t xml:space="preserve"> any proposed changes.</w:t>
      </w:r>
    </w:p>
    <w:p w14:paraId="1056A140" w14:textId="77777777" w:rsidR="00F23B2A" w:rsidRDefault="00F23B2A" w:rsidP="00C52AF2">
      <w:pPr>
        <w:pStyle w:val="ListParagraph"/>
        <w:numPr>
          <w:ilvl w:val="0"/>
          <w:numId w:val="2"/>
        </w:numPr>
        <w:jc w:val="both"/>
      </w:pPr>
      <w:r>
        <w:t xml:space="preserve">Where possible, concepts </w:t>
      </w:r>
      <w:r w:rsidR="00296B34">
        <w:t>are to</w:t>
      </w:r>
      <w:r>
        <w:t xml:space="preserve"> be coded using the </w:t>
      </w:r>
      <w:r w:rsidR="00296B34">
        <w:t xml:space="preserve">available </w:t>
      </w:r>
      <w:r>
        <w:t>cross-domain code lists. In some cases cross-domain code lists may need to be extended</w:t>
      </w:r>
      <w:r w:rsidR="00296B34">
        <w:t>.</w:t>
      </w:r>
      <w:r>
        <w:t xml:space="preserve"> </w:t>
      </w:r>
      <w:r w:rsidR="00296B34">
        <w:t>The code lists are</w:t>
      </w:r>
      <w:r>
        <w:t xml:space="preserve"> to be maintained by the </w:t>
      </w:r>
      <w:r w:rsidR="00296B34">
        <w:t>relevant</w:t>
      </w:r>
      <w:r>
        <w:t xml:space="preserve"> maintenance agency </w:t>
      </w:r>
      <w:r w:rsidR="002C73A4">
        <w:t>representing the O</w:t>
      </w:r>
      <w:r w:rsidR="00296B34">
        <w:t xml:space="preserve">wnership </w:t>
      </w:r>
      <w:r w:rsidR="002C73A4">
        <w:t>G</w:t>
      </w:r>
      <w:r w:rsidR="00296B34">
        <w:t>roup</w:t>
      </w:r>
      <w:r w:rsidR="002C73A4">
        <w:t xml:space="preserve">. The maintenance agency will ensure that </w:t>
      </w:r>
      <w:r w:rsidR="00BE1B56">
        <w:t xml:space="preserve">such artefacts </w:t>
      </w:r>
      <w:r w:rsidR="002C73A4">
        <w:t xml:space="preserve">are kept </w:t>
      </w:r>
      <w:r w:rsidR="00BE1B56">
        <w:t>in line with the source artefact and inform the O</w:t>
      </w:r>
      <w:r w:rsidR="00296B34">
        <w:t xml:space="preserve">wnership </w:t>
      </w:r>
      <w:r w:rsidR="00BE1B56">
        <w:t>G</w:t>
      </w:r>
      <w:r w:rsidR="00296B34">
        <w:t>roup</w:t>
      </w:r>
      <w:r w:rsidR="00BE1B56">
        <w:t xml:space="preserve"> of any potential conflicts</w:t>
      </w:r>
      <w:r w:rsidR="00296B34">
        <w:t xml:space="preserve"> with,</w:t>
      </w:r>
      <w:r w:rsidR="00BE1B56">
        <w:t xml:space="preserve"> or changes occurring from</w:t>
      </w:r>
      <w:r w:rsidR="00296B34">
        <w:t>,</w:t>
      </w:r>
      <w:r w:rsidR="00BE1B56">
        <w:t xml:space="preserve"> updates to the cross-domain artefact</w:t>
      </w:r>
      <w:r w:rsidR="002C73A4">
        <w:t>.</w:t>
      </w:r>
    </w:p>
    <w:p w14:paraId="1056A141" w14:textId="77777777" w:rsidR="00BE1B56" w:rsidRPr="006752D5" w:rsidRDefault="00BE1B56" w:rsidP="00C52AF2">
      <w:pPr>
        <w:pStyle w:val="ListParagraph"/>
        <w:numPr>
          <w:ilvl w:val="0"/>
          <w:numId w:val="2"/>
        </w:numPr>
        <w:jc w:val="both"/>
      </w:pPr>
      <w:r>
        <w:t xml:space="preserve">Additions to existing code list will be accommodated by the </w:t>
      </w:r>
      <w:r w:rsidR="00296B34">
        <w:t>T</w:t>
      </w:r>
      <w:r>
        <w:t xml:space="preserve">echnical </w:t>
      </w:r>
      <w:r w:rsidR="00296B34">
        <w:t>G</w:t>
      </w:r>
      <w:r>
        <w:t>roup</w:t>
      </w:r>
      <w:r w:rsidR="00296B34">
        <w:t>,</w:t>
      </w:r>
      <w:r>
        <w:t xml:space="preserve"> </w:t>
      </w:r>
      <w:r w:rsidR="00296B34">
        <w:t>under the condition that</w:t>
      </w:r>
      <w:r>
        <w:t xml:space="preserve"> the respective code</w:t>
      </w:r>
      <w:r w:rsidR="00296B34">
        <w:t>(s)</w:t>
      </w:r>
      <w:r>
        <w:t xml:space="preserve"> to be added do not conflict with an existing code and the label</w:t>
      </w:r>
      <w:r w:rsidR="00296B34">
        <w:t>s</w:t>
      </w:r>
      <w:r>
        <w:t xml:space="preserve"> as well as </w:t>
      </w:r>
      <w:r w:rsidR="00296B34">
        <w:t xml:space="preserve">the </w:t>
      </w:r>
      <w:r>
        <w:t>integrity rules as far as applicable are clearly expressed.</w:t>
      </w:r>
    </w:p>
    <w:p w14:paraId="1056A142" w14:textId="77777777" w:rsidR="008F189D" w:rsidRDefault="00DE6742" w:rsidP="00343E29">
      <w:pPr>
        <w:pStyle w:val="Heading1"/>
      </w:pPr>
      <w:r>
        <w:t xml:space="preserve">Maintenance </w:t>
      </w:r>
      <w:r w:rsidR="008F189D">
        <w:t>Timeline</w:t>
      </w:r>
      <w:r>
        <w:t>s</w:t>
      </w:r>
    </w:p>
    <w:p w14:paraId="1056A143" w14:textId="77777777" w:rsidR="00296B34" w:rsidRPr="00296B34" w:rsidRDefault="00296B34" w:rsidP="00C52AF2">
      <w:pPr>
        <w:pStyle w:val="ListParagraph"/>
        <w:numPr>
          <w:ilvl w:val="0"/>
          <w:numId w:val="2"/>
        </w:numPr>
        <w:jc w:val="both"/>
      </w:pPr>
      <w:r>
        <w:t>The following timelines are to be respected for the execution of the maintenance cycles distinguished in the above. In the case of the Fast Track Maintenance Cycle, the relevant table below presents the maximum throughput time ensured by the maintenance agency. In case of small changes limited to selected data flows of specific constituencies, the cycle can be shortened accordingly.</w:t>
      </w:r>
      <w:r w:rsidR="00AE0E17">
        <w:t xml:space="preserve"> </w:t>
      </w:r>
      <w:r>
        <w:t xml:space="preserve">For </w:t>
      </w:r>
      <w:r w:rsidR="00AE0E17">
        <w:t xml:space="preserve">the </w:t>
      </w:r>
      <w:r>
        <w:t>calculation of the delays</w:t>
      </w:r>
      <w:r w:rsidR="00AE0E17">
        <w:t>,</w:t>
      </w:r>
      <w:r>
        <w:t xml:space="preserve"> the months August and December are </w:t>
      </w:r>
      <w:r w:rsidR="0030244F">
        <w:t>not to be taken into account</w:t>
      </w:r>
      <w:r>
        <w:t>.</w:t>
      </w:r>
    </w:p>
    <w:p w14:paraId="1056A144" w14:textId="77777777" w:rsidR="00D0484F" w:rsidRPr="00D0484F" w:rsidRDefault="008F189D" w:rsidP="00D0484F">
      <w:pPr>
        <w:pStyle w:val="Heading2"/>
      </w:pPr>
      <w:r>
        <w:lastRenderedPageBreak/>
        <w:t>Regular Annual Maintenance Cycle</w:t>
      </w:r>
      <w:r w:rsidR="00C52AF2">
        <w:rPr>
          <w:rStyle w:val="FootnoteReference"/>
        </w:rPr>
        <w:footnoteReference w:id="9"/>
      </w:r>
    </w:p>
    <w:tbl>
      <w:tblPr>
        <w:tblW w:w="10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2"/>
        <w:gridCol w:w="1503"/>
        <w:gridCol w:w="4063"/>
        <w:gridCol w:w="2977"/>
      </w:tblGrid>
      <w:tr w:rsidR="008F189D" w:rsidRPr="008F189D" w14:paraId="1056A149" w14:textId="77777777" w:rsidTr="00C22F98">
        <w:trPr>
          <w:cantSplit/>
          <w:tblHeader/>
        </w:trPr>
        <w:tc>
          <w:tcPr>
            <w:tcW w:w="1582" w:type="dxa"/>
            <w:shd w:val="clear" w:color="auto" w:fill="E36C0A" w:themeFill="accent6" w:themeFillShade="BF"/>
          </w:tcPr>
          <w:p w14:paraId="1056A145" w14:textId="77777777" w:rsidR="008F189D" w:rsidRPr="008F189D" w:rsidRDefault="008F189D" w:rsidP="008F189D">
            <w:pPr>
              <w:keepNext/>
              <w:keepLines/>
              <w:spacing w:before="120" w:after="120" w:line="240" w:lineRule="auto"/>
              <w:rPr>
                <w:b/>
                <w:bCs/>
                <w:color w:val="FFFFFF"/>
                <w:sz w:val="24"/>
                <w:szCs w:val="24"/>
              </w:rPr>
            </w:pPr>
            <w:r w:rsidRPr="008F189D">
              <w:rPr>
                <w:b/>
                <w:bCs/>
                <w:color w:val="FFFFFF"/>
                <w:sz w:val="24"/>
                <w:szCs w:val="24"/>
              </w:rPr>
              <w:t>When</w:t>
            </w:r>
          </w:p>
        </w:tc>
        <w:tc>
          <w:tcPr>
            <w:tcW w:w="1503" w:type="dxa"/>
            <w:shd w:val="clear" w:color="auto" w:fill="E36C0A" w:themeFill="accent6" w:themeFillShade="BF"/>
          </w:tcPr>
          <w:p w14:paraId="1056A146" w14:textId="77777777" w:rsidR="008F189D" w:rsidRPr="008F189D" w:rsidRDefault="008F189D" w:rsidP="008F189D">
            <w:pPr>
              <w:keepNext/>
              <w:keepLines/>
              <w:spacing w:before="120" w:after="120" w:line="240" w:lineRule="auto"/>
              <w:jc w:val="center"/>
              <w:rPr>
                <w:b/>
                <w:bCs/>
                <w:color w:val="FFFFFF"/>
                <w:sz w:val="24"/>
                <w:szCs w:val="24"/>
              </w:rPr>
            </w:pPr>
            <w:r w:rsidRPr="008F189D">
              <w:rPr>
                <w:b/>
                <w:bCs/>
                <w:color w:val="FFFFFF"/>
                <w:sz w:val="24"/>
                <w:szCs w:val="24"/>
              </w:rPr>
              <w:t>Who</w:t>
            </w:r>
            <w:r w:rsidRPr="004A466E">
              <w:rPr>
                <w:bCs/>
                <w:color w:val="FFFFFF"/>
                <w:vertAlign w:val="superscript"/>
              </w:rPr>
              <w:footnoteReference w:id="10"/>
            </w:r>
          </w:p>
        </w:tc>
        <w:tc>
          <w:tcPr>
            <w:tcW w:w="4063" w:type="dxa"/>
            <w:shd w:val="clear" w:color="auto" w:fill="E36C0A" w:themeFill="accent6" w:themeFillShade="BF"/>
          </w:tcPr>
          <w:p w14:paraId="1056A147" w14:textId="77777777" w:rsidR="008F189D" w:rsidRPr="008F189D" w:rsidRDefault="008F189D" w:rsidP="004A466E">
            <w:pPr>
              <w:keepNext/>
              <w:keepLines/>
              <w:spacing w:before="120" w:after="120" w:line="240" w:lineRule="auto"/>
              <w:rPr>
                <w:b/>
                <w:bCs/>
                <w:color w:val="FFFFFF"/>
                <w:sz w:val="24"/>
                <w:szCs w:val="24"/>
              </w:rPr>
            </w:pPr>
            <w:r w:rsidRPr="008F189D">
              <w:rPr>
                <w:b/>
                <w:bCs/>
                <w:color w:val="FFFFFF"/>
                <w:sz w:val="24"/>
                <w:szCs w:val="24"/>
              </w:rPr>
              <w:t>What</w:t>
            </w:r>
          </w:p>
        </w:tc>
        <w:tc>
          <w:tcPr>
            <w:tcW w:w="2977" w:type="dxa"/>
            <w:shd w:val="clear" w:color="auto" w:fill="E36C0A" w:themeFill="accent6" w:themeFillShade="BF"/>
          </w:tcPr>
          <w:p w14:paraId="1056A148" w14:textId="77777777" w:rsidR="008F189D" w:rsidRPr="008F189D" w:rsidRDefault="008F189D" w:rsidP="004A466E">
            <w:pPr>
              <w:keepNext/>
              <w:keepLines/>
              <w:spacing w:before="120" w:after="120" w:line="240" w:lineRule="auto"/>
              <w:rPr>
                <w:b/>
                <w:bCs/>
                <w:color w:val="FFFFFF"/>
                <w:sz w:val="24"/>
                <w:szCs w:val="24"/>
              </w:rPr>
            </w:pPr>
            <w:r w:rsidRPr="008F189D">
              <w:rPr>
                <w:b/>
                <w:bCs/>
                <w:color w:val="FFFFFF"/>
                <w:sz w:val="24"/>
                <w:szCs w:val="24"/>
              </w:rPr>
              <w:t>Deliverable</w:t>
            </w:r>
          </w:p>
        </w:tc>
      </w:tr>
      <w:tr w:rsidR="008F189D" w:rsidRPr="00AC2F65" w14:paraId="1056A14E" w14:textId="77777777" w:rsidTr="00C22F98">
        <w:trPr>
          <w:cantSplit/>
        </w:trPr>
        <w:tc>
          <w:tcPr>
            <w:tcW w:w="1582" w:type="dxa"/>
            <w:shd w:val="clear" w:color="auto" w:fill="FBD4B4" w:themeFill="accent6" w:themeFillTint="66"/>
          </w:tcPr>
          <w:p w14:paraId="1056A14A" w14:textId="77777777" w:rsidR="008F189D" w:rsidRPr="008F189D" w:rsidRDefault="008F189D" w:rsidP="008F189D">
            <w:pPr>
              <w:spacing w:before="60" w:after="60"/>
              <w:rPr>
                <w:b/>
                <w:bCs/>
              </w:rPr>
            </w:pPr>
            <w:r w:rsidRPr="008F189D">
              <w:rPr>
                <w:b/>
                <w:bCs/>
              </w:rPr>
              <w:t>April</w:t>
            </w:r>
          </w:p>
        </w:tc>
        <w:tc>
          <w:tcPr>
            <w:tcW w:w="1503" w:type="dxa"/>
            <w:shd w:val="clear" w:color="auto" w:fill="auto"/>
          </w:tcPr>
          <w:p w14:paraId="1056A14B" w14:textId="77777777" w:rsidR="008F189D" w:rsidRPr="008F189D" w:rsidRDefault="008F189D" w:rsidP="008F189D">
            <w:pPr>
              <w:spacing w:before="60" w:after="60"/>
              <w:jc w:val="both"/>
              <w:rPr>
                <w:bCs/>
              </w:rPr>
            </w:pPr>
            <w:r w:rsidRPr="008F189D">
              <w:rPr>
                <w:bCs/>
              </w:rPr>
              <w:t>Anybody</w:t>
            </w:r>
          </w:p>
        </w:tc>
        <w:tc>
          <w:tcPr>
            <w:tcW w:w="4063" w:type="dxa"/>
            <w:shd w:val="clear" w:color="auto" w:fill="auto"/>
          </w:tcPr>
          <w:p w14:paraId="1056A14C" w14:textId="77777777" w:rsidR="008F189D" w:rsidRPr="008F189D" w:rsidRDefault="008F189D" w:rsidP="004A466E">
            <w:pPr>
              <w:spacing w:before="60" w:after="60"/>
              <w:rPr>
                <w:bCs/>
              </w:rPr>
            </w:pPr>
            <w:r w:rsidRPr="008F189D">
              <w:rPr>
                <w:bCs/>
              </w:rPr>
              <w:t>Deadline for change requests</w:t>
            </w:r>
          </w:p>
        </w:tc>
        <w:tc>
          <w:tcPr>
            <w:tcW w:w="2977" w:type="dxa"/>
          </w:tcPr>
          <w:p w14:paraId="1056A14D" w14:textId="77777777" w:rsidR="008F189D" w:rsidRPr="008F189D" w:rsidRDefault="008F189D" w:rsidP="004A466E">
            <w:pPr>
              <w:spacing w:before="60" w:after="60"/>
              <w:rPr>
                <w:bCs/>
              </w:rPr>
            </w:pPr>
            <w:r w:rsidRPr="008F189D">
              <w:rPr>
                <w:bCs/>
              </w:rPr>
              <w:t>Change request with artefact to be changed and data flows affected</w:t>
            </w:r>
          </w:p>
        </w:tc>
      </w:tr>
      <w:tr w:rsidR="008F189D" w:rsidRPr="00AC2F65" w14:paraId="1056A153" w14:textId="77777777" w:rsidTr="00C22F98">
        <w:trPr>
          <w:cantSplit/>
        </w:trPr>
        <w:tc>
          <w:tcPr>
            <w:tcW w:w="1582" w:type="dxa"/>
            <w:shd w:val="clear" w:color="auto" w:fill="FBD4B4" w:themeFill="accent6" w:themeFillTint="66"/>
          </w:tcPr>
          <w:p w14:paraId="1056A14F" w14:textId="77777777" w:rsidR="008F189D" w:rsidRPr="008F189D" w:rsidRDefault="008F189D" w:rsidP="008F189D">
            <w:pPr>
              <w:spacing w:before="60" w:after="60"/>
              <w:rPr>
                <w:b/>
                <w:bCs/>
              </w:rPr>
            </w:pPr>
            <w:r w:rsidRPr="008F189D">
              <w:rPr>
                <w:b/>
                <w:bCs/>
              </w:rPr>
              <w:t xml:space="preserve">May - </w:t>
            </w:r>
            <w:r w:rsidRPr="008F189D">
              <w:rPr>
                <w:b/>
                <w:bCs/>
              </w:rPr>
              <w:br/>
              <w:t>June</w:t>
            </w:r>
          </w:p>
        </w:tc>
        <w:tc>
          <w:tcPr>
            <w:tcW w:w="1503" w:type="dxa"/>
            <w:shd w:val="clear" w:color="auto" w:fill="auto"/>
          </w:tcPr>
          <w:p w14:paraId="1056A150" w14:textId="77777777" w:rsidR="008F189D" w:rsidRPr="008F189D" w:rsidRDefault="008F189D" w:rsidP="00900A52">
            <w:pPr>
              <w:spacing w:before="60" w:after="60"/>
              <w:rPr>
                <w:bCs/>
              </w:rPr>
            </w:pPr>
            <w:r w:rsidRPr="008F189D">
              <w:rPr>
                <w:bCs/>
              </w:rPr>
              <w:t>MA</w:t>
            </w:r>
            <w:r w:rsidR="00900A52">
              <w:rPr>
                <w:bCs/>
              </w:rPr>
              <w:t>, in cooperation with TG(s)</w:t>
            </w:r>
          </w:p>
        </w:tc>
        <w:tc>
          <w:tcPr>
            <w:tcW w:w="4063" w:type="dxa"/>
            <w:shd w:val="clear" w:color="auto" w:fill="auto"/>
          </w:tcPr>
          <w:p w14:paraId="1056A151" w14:textId="77777777" w:rsidR="008F189D" w:rsidRPr="008F189D" w:rsidRDefault="008F189D" w:rsidP="004A466E">
            <w:pPr>
              <w:spacing w:before="60" w:after="60"/>
              <w:rPr>
                <w:bCs/>
              </w:rPr>
            </w:pPr>
            <w:r w:rsidRPr="008F189D">
              <w:rPr>
                <w:bCs/>
              </w:rPr>
              <w:t>Consolidation of change requests within domain between domains (for shared artefacts)</w:t>
            </w:r>
          </w:p>
        </w:tc>
        <w:tc>
          <w:tcPr>
            <w:tcW w:w="2977" w:type="dxa"/>
          </w:tcPr>
          <w:p w14:paraId="1056A152" w14:textId="77777777" w:rsidR="008F189D" w:rsidRPr="008F189D" w:rsidRDefault="008F189D" w:rsidP="004A466E">
            <w:pPr>
              <w:spacing w:before="60" w:after="60"/>
              <w:rPr>
                <w:bCs/>
              </w:rPr>
            </w:pPr>
            <w:r w:rsidRPr="008F189D">
              <w:rPr>
                <w:bCs/>
              </w:rPr>
              <w:t xml:space="preserve">Issue log with change classification </w:t>
            </w:r>
            <w:r w:rsidR="00EF66D9">
              <w:rPr>
                <w:bCs/>
              </w:rPr>
              <w:t>and impact on data flows</w:t>
            </w:r>
          </w:p>
        </w:tc>
      </w:tr>
      <w:tr w:rsidR="008F189D" w:rsidRPr="00AC2F65" w14:paraId="1056A159" w14:textId="77777777" w:rsidTr="00C22F98">
        <w:trPr>
          <w:cantSplit/>
        </w:trPr>
        <w:tc>
          <w:tcPr>
            <w:tcW w:w="1582" w:type="dxa"/>
            <w:shd w:val="clear" w:color="auto" w:fill="FBD4B4" w:themeFill="accent6" w:themeFillTint="66"/>
          </w:tcPr>
          <w:p w14:paraId="1056A154" w14:textId="77777777" w:rsidR="008F189D" w:rsidRPr="008F189D" w:rsidRDefault="008F189D" w:rsidP="008F189D">
            <w:pPr>
              <w:spacing w:before="60" w:after="60"/>
              <w:rPr>
                <w:b/>
                <w:bCs/>
              </w:rPr>
            </w:pPr>
            <w:r w:rsidRPr="008F189D">
              <w:rPr>
                <w:b/>
                <w:bCs/>
              </w:rPr>
              <w:t>June</w:t>
            </w:r>
          </w:p>
        </w:tc>
        <w:tc>
          <w:tcPr>
            <w:tcW w:w="1503" w:type="dxa"/>
            <w:shd w:val="clear" w:color="auto" w:fill="auto"/>
          </w:tcPr>
          <w:p w14:paraId="1056A155" w14:textId="77777777" w:rsidR="008F189D" w:rsidRPr="008F189D" w:rsidRDefault="008F189D" w:rsidP="008F189D">
            <w:pPr>
              <w:spacing w:before="60" w:after="60"/>
              <w:jc w:val="both"/>
              <w:rPr>
                <w:bCs/>
              </w:rPr>
            </w:pPr>
            <w:r w:rsidRPr="008F189D">
              <w:rPr>
                <w:bCs/>
              </w:rPr>
              <w:t>OG</w:t>
            </w:r>
          </w:p>
        </w:tc>
        <w:tc>
          <w:tcPr>
            <w:tcW w:w="4063" w:type="dxa"/>
            <w:shd w:val="clear" w:color="auto" w:fill="auto"/>
          </w:tcPr>
          <w:p w14:paraId="1056A156" w14:textId="77777777" w:rsidR="008F189D" w:rsidRPr="00EF376A" w:rsidRDefault="008F189D" w:rsidP="004A466E">
            <w:pPr>
              <w:spacing w:before="60" w:after="60"/>
              <w:rPr>
                <w:b/>
                <w:bCs/>
              </w:rPr>
            </w:pPr>
            <w:r w:rsidRPr="00EF376A">
              <w:rPr>
                <w:b/>
                <w:bCs/>
              </w:rPr>
              <w:t>OG Video Conference</w:t>
            </w:r>
          </w:p>
          <w:p w14:paraId="1056A157" w14:textId="77777777" w:rsidR="008F189D" w:rsidRPr="008F189D" w:rsidRDefault="008F189D" w:rsidP="004A466E">
            <w:pPr>
              <w:spacing w:before="60" w:after="60"/>
              <w:rPr>
                <w:bCs/>
              </w:rPr>
            </w:pPr>
            <w:r w:rsidRPr="008F189D">
              <w:rPr>
                <w:bCs/>
              </w:rPr>
              <w:t>Evaluation on last year's cycle;</w:t>
            </w:r>
            <w:r w:rsidRPr="008F189D">
              <w:rPr>
                <w:bCs/>
              </w:rPr>
              <w:br/>
              <w:t>discussion on issue logs provided by MAs;</w:t>
            </w:r>
            <w:r w:rsidRPr="008F189D">
              <w:rPr>
                <w:bCs/>
              </w:rPr>
              <w:br/>
              <w:t>approval of joint issue log</w:t>
            </w:r>
          </w:p>
        </w:tc>
        <w:tc>
          <w:tcPr>
            <w:tcW w:w="2977" w:type="dxa"/>
          </w:tcPr>
          <w:p w14:paraId="1056A158" w14:textId="77777777" w:rsidR="008F189D" w:rsidRPr="008F189D" w:rsidRDefault="008F189D" w:rsidP="004A466E">
            <w:pPr>
              <w:spacing w:before="60" w:after="60"/>
              <w:rPr>
                <w:bCs/>
              </w:rPr>
            </w:pPr>
            <w:r w:rsidRPr="008F189D">
              <w:rPr>
                <w:bCs/>
              </w:rPr>
              <w:t>OG report on last year's cycle</w:t>
            </w:r>
            <w:r w:rsidR="004868A8">
              <w:rPr>
                <w:bCs/>
              </w:rPr>
              <w:t>,</w:t>
            </w:r>
            <w:r w:rsidRPr="008F189D">
              <w:rPr>
                <w:bCs/>
              </w:rPr>
              <w:br/>
            </w:r>
            <w:r w:rsidR="006B1078">
              <w:rPr>
                <w:bCs/>
              </w:rPr>
              <w:t>a</w:t>
            </w:r>
            <w:r w:rsidRPr="008F189D">
              <w:rPr>
                <w:bCs/>
              </w:rPr>
              <w:t>pproved issue log for consultation</w:t>
            </w:r>
          </w:p>
        </w:tc>
      </w:tr>
      <w:tr w:rsidR="008F189D" w:rsidRPr="00AC2F65" w14:paraId="1056A15E" w14:textId="77777777" w:rsidTr="00C22F98">
        <w:trPr>
          <w:cantSplit/>
        </w:trPr>
        <w:tc>
          <w:tcPr>
            <w:tcW w:w="1582" w:type="dxa"/>
            <w:shd w:val="clear" w:color="auto" w:fill="FBD4B4" w:themeFill="accent6" w:themeFillTint="66"/>
          </w:tcPr>
          <w:p w14:paraId="1056A15A" w14:textId="77777777" w:rsidR="008F189D" w:rsidRPr="008F189D" w:rsidRDefault="008F189D" w:rsidP="008F189D">
            <w:pPr>
              <w:spacing w:before="60" w:after="60"/>
              <w:rPr>
                <w:b/>
                <w:bCs/>
              </w:rPr>
            </w:pPr>
            <w:r w:rsidRPr="008F189D">
              <w:rPr>
                <w:b/>
                <w:bCs/>
              </w:rPr>
              <w:t>June</w:t>
            </w:r>
          </w:p>
        </w:tc>
        <w:tc>
          <w:tcPr>
            <w:tcW w:w="1503" w:type="dxa"/>
            <w:shd w:val="clear" w:color="auto" w:fill="auto"/>
          </w:tcPr>
          <w:p w14:paraId="1056A15B" w14:textId="77777777" w:rsidR="008F189D" w:rsidRPr="008F189D" w:rsidRDefault="008F189D" w:rsidP="00900A52">
            <w:pPr>
              <w:spacing w:before="60" w:after="60"/>
              <w:rPr>
                <w:bCs/>
              </w:rPr>
            </w:pPr>
            <w:r w:rsidRPr="008F189D">
              <w:rPr>
                <w:bCs/>
              </w:rPr>
              <w:t>MA</w:t>
            </w:r>
            <w:r w:rsidR="00900A52">
              <w:rPr>
                <w:bCs/>
              </w:rPr>
              <w:t>, in cooperation with TG(s)</w:t>
            </w:r>
          </w:p>
        </w:tc>
        <w:tc>
          <w:tcPr>
            <w:tcW w:w="4063" w:type="dxa"/>
            <w:shd w:val="clear" w:color="auto" w:fill="auto"/>
          </w:tcPr>
          <w:p w14:paraId="1056A15C" w14:textId="77777777" w:rsidR="008F189D" w:rsidRPr="008F189D" w:rsidRDefault="008F189D" w:rsidP="004A466E">
            <w:pPr>
              <w:spacing w:before="60" w:after="60"/>
              <w:rPr>
                <w:bCs/>
              </w:rPr>
            </w:pPr>
            <w:r w:rsidRPr="008F189D">
              <w:rPr>
                <w:bCs/>
              </w:rPr>
              <w:t>Incorporate change proposals into reporting frameworks</w:t>
            </w:r>
          </w:p>
        </w:tc>
        <w:tc>
          <w:tcPr>
            <w:tcW w:w="2977" w:type="dxa"/>
          </w:tcPr>
          <w:p w14:paraId="1056A15D" w14:textId="77777777" w:rsidR="008F189D" w:rsidRPr="008F189D" w:rsidRDefault="008F189D" w:rsidP="004A466E">
            <w:pPr>
              <w:spacing w:before="60" w:after="60"/>
              <w:rPr>
                <w:bCs/>
              </w:rPr>
            </w:pPr>
            <w:r w:rsidRPr="008F189D">
              <w:rPr>
                <w:bCs/>
              </w:rPr>
              <w:t>Updated draft DSD matrix</w:t>
            </w:r>
          </w:p>
        </w:tc>
      </w:tr>
      <w:tr w:rsidR="008F189D" w:rsidRPr="00AC2F65" w14:paraId="1056A163" w14:textId="77777777" w:rsidTr="00C22F98">
        <w:trPr>
          <w:cantSplit/>
        </w:trPr>
        <w:tc>
          <w:tcPr>
            <w:tcW w:w="1582" w:type="dxa"/>
            <w:shd w:val="clear" w:color="auto" w:fill="FBD4B4" w:themeFill="accent6" w:themeFillTint="66"/>
          </w:tcPr>
          <w:p w14:paraId="1056A15F" w14:textId="77777777" w:rsidR="008F189D" w:rsidRPr="008F189D" w:rsidRDefault="008F189D" w:rsidP="008F189D">
            <w:pPr>
              <w:spacing w:before="60" w:after="60"/>
              <w:rPr>
                <w:b/>
                <w:bCs/>
              </w:rPr>
            </w:pPr>
            <w:r w:rsidRPr="008F189D">
              <w:rPr>
                <w:b/>
                <w:bCs/>
              </w:rPr>
              <w:t xml:space="preserve">June - </w:t>
            </w:r>
            <w:r w:rsidRPr="008F189D">
              <w:rPr>
                <w:b/>
                <w:bCs/>
              </w:rPr>
              <w:br/>
              <w:t>November</w:t>
            </w:r>
          </w:p>
        </w:tc>
        <w:tc>
          <w:tcPr>
            <w:tcW w:w="1503" w:type="dxa"/>
            <w:shd w:val="clear" w:color="auto" w:fill="auto"/>
          </w:tcPr>
          <w:p w14:paraId="1056A160" w14:textId="77777777" w:rsidR="008F189D" w:rsidRPr="008F189D" w:rsidRDefault="008F189D" w:rsidP="008F189D">
            <w:pPr>
              <w:spacing w:before="60" w:after="60"/>
              <w:jc w:val="both"/>
              <w:rPr>
                <w:bCs/>
              </w:rPr>
            </w:pPr>
            <w:r w:rsidRPr="008F189D">
              <w:rPr>
                <w:bCs/>
              </w:rPr>
              <w:t>OG</w:t>
            </w:r>
          </w:p>
        </w:tc>
        <w:tc>
          <w:tcPr>
            <w:tcW w:w="4063" w:type="dxa"/>
            <w:shd w:val="clear" w:color="auto" w:fill="auto"/>
          </w:tcPr>
          <w:p w14:paraId="1056A161" w14:textId="77777777" w:rsidR="008F189D" w:rsidRPr="008F189D" w:rsidRDefault="008F189D" w:rsidP="004A466E">
            <w:pPr>
              <w:spacing w:before="60" w:after="60"/>
              <w:rPr>
                <w:bCs/>
              </w:rPr>
            </w:pPr>
            <w:r w:rsidRPr="008F189D">
              <w:rPr>
                <w:bCs/>
              </w:rPr>
              <w:t>Consultation with respective constituencies on changes and implementation planning</w:t>
            </w:r>
            <w:r w:rsidR="00760873">
              <w:rPr>
                <w:rStyle w:val="FootnoteReference"/>
                <w:bCs/>
              </w:rPr>
              <w:footnoteReference w:id="11"/>
            </w:r>
          </w:p>
        </w:tc>
        <w:tc>
          <w:tcPr>
            <w:tcW w:w="2977" w:type="dxa"/>
          </w:tcPr>
          <w:p w14:paraId="1056A162" w14:textId="77777777" w:rsidR="008F189D" w:rsidRPr="008F189D" w:rsidRDefault="008F189D" w:rsidP="004A466E">
            <w:pPr>
              <w:spacing w:before="60" w:after="60"/>
              <w:rPr>
                <w:bCs/>
              </w:rPr>
            </w:pPr>
            <w:r w:rsidRPr="008F189D">
              <w:rPr>
                <w:bCs/>
              </w:rPr>
              <w:t>Constituency report</w:t>
            </w:r>
            <w:r w:rsidR="004868A8">
              <w:rPr>
                <w:bCs/>
              </w:rPr>
              <w:t>,</w:t>
            </w:r>
            <w:r w:rsidRPr="008F189D">
              <w:rPr>
                <w:bCs/>
              </w:rPr>
              <w:br/>
            </w:r>
            <w:r w:rsidR="006B1078">
              <w:rPr>
                <w:bCs/>
              </w:rPr>
              <w:t>i</w:t>
            </w:r>
            <w:r w:rsidRPr="008F189D">
              <w:rPr>
                <w:bCs/>
              </w:rPr>
              <w:t>mplementation plan</w:t>
            </w:r>
          </w:p>
        </w:tc>
      </w:tr>
      <w:tr w:rsidR="008F189D" w:rsidRPr="00AC2F65" w14:paraId="1056A168" w14:textId="77777777" w:rsidTr="00C22F98">
        <w:trPr>
          <w:cantSplit/>
        </w:trPr>
        <w:tc>
          <w:tcPr>
            <w:tcW w:w="1582" w:type="dxa"/>
            <w:shd w:val="clear" w:color="auto" w:fill="FBD4B4" w:themeFill="accent6" w:themeFillTint="66"/>
          </w:tcPr>
          <w:p w14:paraId="1056A164" w14:textId="77777777" w:rsidR="008F189D" w:rsidRPr="008F189D" w:rsidRDefault="008F189D" w:rsidP="008F189D">
            <w:pPr>
              <w:spacing w:before="60" w:after="60"/>
              <w:rPr>
                <w:b/>
                <w:bCs/>
              </w:rPr>
            </w:pPr>
            <w:r w:rsidRPr="008F189D">
              <w:rPr>
                <w:b/>
                <w:bCs/>
              </w:rPr>
              <w:t>December</w:t>
            </w:r>
          </w:p>
        </w:tc>
        <w:tc>
          <w:tcPr>
            <w:tcW w:w="1503" w:type="dxa"/>
            <w:shd w:val="clear" w:color="auto" w:fill="auto"/>
          </w:tcPr>
          <w:p w14:paraId="1056A165" w14:textId="77777777" w:rsidR="008F189D" w:rsidRPr="008F189D" w:rsidRDefault="008F189D" w:rsidP="00900A52">
            <w:pPr>
              <w:spacing w:before="60" w:after="60"/>
              <w:rPr>
                <w:bCs/>
              </w:rPr>
            </w:pPr>
            <w:r w:rsidRPr="008F189D">
              <w:rPr>
                <w:bCs/>
              </w:rPr>
              <w:t>MA</w:t>
            </w:r>
            <w:r w:rsidR="00900A52">
              <w:rPr>
                <w:bCs/>
              </w:rPr>
              <w:t>, in cooperation with TG(s)</w:t>
            </w:r>
          </w:p>
        </w:tc>
        <w:tc>
          <w:tcPr>
            <w:tcW w:w="4063" w:type="dxa"/>
            <w:shd w:val="clear" w:color="auto" w:fill="auto"/>
          </w:tcPr>
          <w:p w14:paraId="1056A166" w14:textId="77777777" w:rsidR="008F189D" w:rsidRPr="008F189D" w:rsidRDefault="008F189D" w:rsidP="00F752B4">
            <w:pPr>
              <w:spacing w:before="60" w:after="60"/>
              <w:rPr>
                <w:bCs/>
              </w:rPr>
            </w:pPr>
            <w:r w:rsidRPr="008F189D">
              <w:rPr>
                <w:bCs/>
              </w:rPr>
              <w:t>Incorporate constituency comments into reporting frameworks</w:t>
            </w:r>
          </w:p>
        </w:tc>
        <w:tc>
          <w:tcPr>
            <w:tcW w:w="2977" w:type="dxa"/>
          </w:tcPr>
          <w:p w14:paraId="1056A167" w14:textId="77777777" w:rsidR="008F189D" w:rsidRPr="008F189D" w:rsidRDefault="008F189D" w:rsidP="00F752B4">
            <w:pPr>
              <w:spacing w:before="60" w:after="60"/>
              <w:rPr>
                <w:bCs/>
              </w:rPr>
            </w:pPr>
            <w:r w:rsidRPr="008F189D">
              <w:rPr>
                <w:bCs/>
              </w:rPr>
              <w:t>Updated draft DSD matrix</w:t>
            </w:r>
          </w:p>
        </w:tc>
      </w:tr>
      <w:tr w:rsidR="008F189D" w:rsidRPr="00AC2F65" w14:paraId="1056A16E" w14:textId="77777777" w:rsidTr="00C22F98">
        <w:trPr>
          <w:cantSplit/>
        </w:trPr>
        <w:tc>
          <w:tcPr>
            <w:tcW w:w="1582" w:type="dxa"/>
            <w:shd w:val="clear" w:color="auto" w:fill="FBD4B4" w:themeFill="accent6" w:themeFillTint="66"/>
          </w:tcPr>
          <w:p w14:paraId="1056A169" w14:textId="77777777" w:rsidR="008F189D" w:rsidRPr="008F189D" w:rsidRDefault="008F189D" w:rsidP="008F189D">
            <w:pPr>
              <w:spacing w:before="60" w:after="60"/>
              <w:rPr>
                <w:b/>
                <w:bCs/>
              </w:rPr>
            </w:pPr>
            <w:r w:rsidRPr="008F189D">
              <w:rPr>
                <w:b/>
                <w:bCs/>
              </w:rPr>
              <w:t>December</w:t>
            </w:r>
          </w:p>
        </w:tc>
        <w:tc>
          <w:tcPr>
            <w:tcW w:w="1503" w:type="dxa"/>
            <w:shd w:val="clear" w:color="auto" w:fill="auto"/>
          </w:tcPr>
          <w:p w14:paraId="1056A16A" w14:textId="77777777" w:rsidR="008F189D" w:rsidRPr="008F189D" w:rsidRDefault="008F189D" w:rsidP="008F189D">
            <w:pPr>
              <w:spacing w:before="60" w:after="60"/>
              <w:jc w:val="both"/>
              <w:rPr>
                <w:bCs/>
              </w:rPr>
            </w:pPr>
            <w:r w:rsidRPr="008F189D">
              <w:rPr>
                <w:bCs/>
              </w:rPr>
              <w:t>OG</w:t>
            </w:r>
          </w:p>
        </w:tc>
        <w:tc>
          <w:tcPr>
            <w:tcW w:w="4063" w:type="dxa"/>
            <w:shd w:val="clear" w:color="auto" w:fill="auto"/>
          </w:tcPr>
          <w:p w14:paraId="1056A16B" w14:textId="77777777" w:rsidR="008F189D" w:rsidRPr="00EF376A" w:rsidRDefault="008F189D" w:rsidP="00F752B4">
            <w:pPr>
              <w:spacing w:before="60" w:after="60"/>
              <w:rPr>
                <w:b/>
                <w:bCs/>
              </w:rPr>
            </w:pPr>
            <w:r w:rsidRPr="00EF376A">
              <w:rPr>
                <w:b/>
                <w:bCs/>
              </w:rPr>
              <w:t>OG Physical Meeting</w:t>
            </w:r>
          </w:p>
          <w:p w14:paraId="1056A16C" w14:textId="77777777" w:rsidR="008F189D" w:rsidRPr="008F189D" w:rsidRDefault="008F189D" w:rsidP="00F752B4">
            <w:pPr>
              <w:spacing w:before="60" w:after="60"/>
              <w:rPr>
                <w:bCs/>
              </w:rPr>
            </w:pPr>
            <w:r w:rsidRPr="008F189D">
              <w:rPr>
                <w:bCs/>
              </w:rPr>
              <w:t>Discussion on constituency reports and implementation plans;</w:t>
            </w:r>
            <w:r w:rsidRPr="008F189D">
              <w:rPr>
                <w:bCs/>
              </w:rPr>
              <w:br/>
              <w:t>approval of revised DSD matrixes</w:t>
            </w:r>
          </w:p>
        </w:tc>
        <w:tc>
          <w:tcPr>
            <w:tcW w:w="2977" w:type="dxa"/>
          </w:tcPr>
          <w:p w14:paraId="1056A16D" w14:textId="77777777" w:rsidR="008F189D" w:rsidRPr="008F189D" w:rsidRDefault="008F189D" w:rsidP="00F752B4">
            <w:pPr>
              <w:spacing w:before="60" w:after="60"/>
              <w:rPr>
                <w:bCs/>
              </w:rPr>
            </w:pPr>
            <w:r w:rsidRPr="008F189D">
              <w:rPr>
                <w:bCs/>
              </w:rPr>
              <w:t>OG report</w:t>
            </w:r>
            <w:r w:rsidR="004868A8">
              <w:rPr>
                <w:bCs/>
              </w:rPr>
              <w:t>,</w:t>
            </w:r>
            <w:r w:rsidRPr="008F189D">
              <w:rPr>
                <w:bCs/>
              </w:rPr>
              <w:br/>
              <w:t>updated DSD matrix</w:t>
            </w:r>
          </w:p>
        </w:tc>
      </w:tr>
      <w:tr w:rsidR="008F189D" w:rsidRPr="00AC2F65" w14:paraId="1056A173" w14:textId="77777777" w:rsidTr="00C22F98">
        <w:trPr>
          <w:cantSplit/>
        </w:trPr>
        <w:tc>
          <w:tcPr>
            <w:tcW w:w="1582" w:type="dxa"/>
            <w:shd w:val="clear" w:color="auto" w:fill="FBD4B4" w:themeFill="accent6" w:themeFillTint="66"/>
          </w:tcPr>
          <w:p w14:paraId="1056A16F" w14:textId="77777777" w:rsidR="008F189D" w:rsidRPr="008F189D" w:rsidRDefault="008F189D" w:rsidP="008F189D">
            <w:pPr>
              <w:spacing w:before="60" w:after="60"/>
              <w:rPr>
                <w:b/>
                <w:bCs/>
              </w:rPr>
            </w:pPr>
            <w:r w:rsidRPr="008F189D">
              <w:rPr>
                <w:b/>
                <w:bCs/>
              </w:rPr>
              <w:t>December</w:t>
            </w:r>
          </w:p>
        </w:tc>
        <w:tc>
          <w:tcPr>
            <w:tcW w:w="1503" w:type="dxa"/>
            <w:shd w:val="clear" w:color="auto" w:fill="auto"/>
          </w:tcPr>
          <w:p w14:paraId="1056A170" w14:textId="77777777" w:rsidR="008F189D" w:rsidRPr="008F189D" w:rsidRDefault="008F189D" w:rsidP="008F189D">
            <w:pPr>
              <w:spacing w:before="60" w:after="60"/>
              <w:jc w:val="both"/>
              <w:rPr>
                <w:bCs/>
              </w:rPr>
            </w:pPr>
            <w:r w:rsidRPr="008F189D">
              <w:rPr>
                <w:bCs/>
              </w:rPr>
              <w:t>MA</w:t>
            </w:r>
          </w:p>
        </w:tc>
        <w:tc>
          <w:tcPr>
            <w:tcW w:w="4063" w:type="dxa"/>
            <w:shd w:val="clear" w:color="auto" w:fill="auto"/>
          </w:tcPr>
          <w:p w14:paraId="1056A171" w14:textId="77777777" w:rsidR="008F189D" w:rsidRPr="008F189D" w:rsidRDefault="008F189D" w:rsidP="00F752B4">
            <w:pPr>
              <w:spacing w:before="60" w:after="60"/>
              <w:rPr>
                <w:bCs/>
              </w:rPr>
            </w:pPr>
            <w:r w:rsidRPr="008F189D">
              <w:rPr>
                <w:bCs/>
              </w:rPr>
              <w:t>Implement changes</w:t>
            </w:r>
          </w:p>
        </w:tc>
        <w:tc>
          <w:tcPr>
            <w:tcW w:w="2977" w:type="dxa"/>
          </w:tcPr>
          <w:p w14:paraId="1056A172" w14:textId="77777777" w:rsidR="008F189D" w:rsidRPr="008F189D" w:rsidRDefault="008F189D" w:rsidP="00F752B4">
            <w:pPr>
              <w:spacing w:before="60" w:after="60"/>
              <w:rPr>
                <w:bCs/>
              </w:rPr>
            </w:pPr>
            <w:r w:rsidRPr="008F189D">
              <w:rPr>
                <w:bCs/>
              </w:rPr>
              <w:t>Updated DSD matrix and SDMX artefacts</w:t>
            </w:r>
          </w:p>
        </w:tc>
      </w:tr>
      <w:tr w:rsidR="008F189D" w:rsidRPr="00AC2F65" w14:paraId="1056A178" w14:textId="77777777" w:rsidTr="00C22F98">
        <w:trPr>
          <w:cantSplit/>
        </w:trPr>
        <w:tc>
          <w:tcPr>
            <w:tcW w:w="1582" w:type="dxa"/>
            <w:shd w:val="clear" w:color="auto" w:fill="FBD4B4" w:themeFill="accent6" w:themeFillTint="66"/>
          </w:tcPr>
          <w:p w14:paraId="1056A174" w14:textId="77777777" w:rsidR="008F189D" w:rsidRPr="008F189D" w:rsidRDefault="008F189D" w:rsidP="008F189D">
            <w:pPr>
              <w:spacing w:before="60" w:after="60"/>
              <w:rPr>
                <w:b/>
                <w:bCs/>
              </w:rPr>
            </w:pPr>
            <w:r w:rsidRPr="008F189D">
              <w:rPr>
                <w:b/>
                <w:bCs/>
              </w:rPr>
              <w:t xml:space="preserve">December - </w:t>
            </w:r>
            <w:r w:rsidRPr="008F189D">
              <w:rPr>
                <w:b/>
                <w:bCs/>
              </w:rPr>
              <w:br/>
              <w:t>February Y+1</w:t>
            </w:r>
          </w:p>
        </w:tc>
        <w:tc>
          <w:tcPr>
            <w:tcW w:w="1503" w:type="dxa"/>
            <w:shd w:val="clear" w:color="auto" w:fill="auto"/>
          </w:tcPr>
          <w:p w14:paraId="1056A175" w14:textId="77777777" w:rsidR="008F189D" w:rsidRPr="008F189D" w:rsidRDefault="008F189D" w:rsidP="008F189D">
            <w:pPr>
              <w:spacing w:before="60" w:after="60"/>
              <w:jc w:val="both"/>
              <w:rPr>
                <w:bCs/>
              </w:rPr>
            </w:pPr>
            <w:r w:rsidRPr="008F189D">
              <w:rPr>
                <w:bCs/>
              </w:rPr>
              <w:t>Anybody concerned</w:t>
            </w:r>
          </w:p>
        </w:tc>
        <w:tc>
          <w:tcPr>
            <w:tcW w:w="4063" w:type="dxa"/>
            <w:shd w:val="clear" w:color="auto" w:fill="auto"/>
          </w:tcPr>
          <w:p w14:paraId="1056A176" w14:textId="77777777" w:rsidR="008F189D" w:rsidRPr="008F189D" w:rsidRDefault="008F189D" w:rsidP="00F752B4">
            <w:pPr>
              <w:spacing w:before="60" w:after="60"/>
              <w:rPr>
                <w:bCs/>
              </w:rPr>
            </w:pPr>
            <w:r w:rsidRPr="008F189D">
              <w:rPr>
                <w:bCs/>
              </w:rPr>
              <w:t>Testing</w:t>
            </w:r>
          </w:p>
        </w:tc>
        <w:tc>
          <w:tcPr>
            <w:tcW w:w="2977" w:type="dxa"/>
          </w:tcPr>
          <w:p w14:paraId="1056A177" w14:textId="77777777" w:rsidR="008F189D" w:rsidRPr="008F189D" w:rsidRDefault="008F189D" w:rsidP="00F752B4">
            <w:pPr>
              <w:spacing w:before="60" w:after="60"/>
              <w:rPr>
                <w:bCs/>
              </w:rPr>
            </w:pPr>
            <w:r w:rsidRPr="008F189D">
              <w:rPr>
                <w:bCs/>
              </w:rPr>
              <w:t>Test reports</w:t>
            </w:r>
          </w:p>
        </w:tc>
      </w:tr>
      <w:tr w:rsidR="008F189D" w:rsidRPr="00AC2F65" w14:paraId="1056A17D" w14:textId="77777777" w:rsidTr="00C22F98">
        <w:trPr>
          <w:cantSplit/>
        </w:trPr>
        <w:tc>
          <w:tcPr>
            <w:tcW w:w="1582" w:type="dxa"/>
            <w:shd w:val="clear" w:color="auto" w:fill="FBD4B4" w:themeFill="accent6" w:themeFillTint="66"/>
          </w:tcPr>
          <w:p w14:paraId="1056A179" w14:textId="77777777" w:rsidR="008F189D" w:rsidRPr="008F189D" w:rsidRDefault="008F189D" w:rsidP="008F189D">
            <w:pPr>
              <w:spacing w:before="60" w:after="60"/>
              <w:rPr>
                <w:b/>
                <w:bCs/>
              </w:rPr>
            </w:pPr>
            <w:r w:rsidRPr="008F189D">
              <w:rPr>
                <w:b/>
                <w:bCs/>
              </w:rPr>
              <w:t>March Y+1</w:t>
            </w:r>
          </w:p>
        </w:tc>
        <w:tc>
          <w:tcPr>
            <w:tcW w:w="1503" w:type="dxa"/>
            <w:shd w:val="clear" w:color="auto" w:fill="auto"/>
          </w:tcPr>
          <w:p w14:paraId="1056A17A" w14:textId="77777777" w:rsidR="008F189D" w:rsidRPr="008F189D" w:rsidRDefault="008F189D" w:rsidP="008F189D">
            <w:pPr>
              <w:spacing w:before="60" w:after="60"/>
              <w:jc w:val="both"/>
              <w:rPr>
                <w:bCs/>
              </w:rPr>
            </w:pPr>
            <w:r w:rsidRPr="008F189D">
              <w:rPr>
                <w:bCs/>
              </w:rPr>
              <w:t>MA</w:t>
            </w:r>
          </w:p>
        </w:tc>
        <w:tc>
          <w:tcPr>
            <w:tcW w:w="4063" w:type="dxa"/>
            <w:shd w:val="clear" w:color="auto" w:fill="auto"/>
          </w:tcPr>
          <w:p w14:paraId="1056A17B" w14:textId="77777777" w:rsidR="008F189D" w:rsidRPr="008F189D" w:rsidRDefault="008F189D" w:rsidP="00F752B4">
            <w:pPr>
              <w:spacing w:before="60" w:after="60"/>
              <w:rPr>
                <w:bCs/>
              </w:rPr>
            </w:pPr>
            <w:r w:rsidRPr="008F189D">
              <w:rPr>
                <w:bCs/>
              </w:rPr>
              <w:t>Consolidate test results and implement bug fixes</w:t>
            </w:r>
          </w:p>
        </w:tc>
        <w:tc>
          <w:tcPr>
            <w:tcW w:w="2977" w:type="dxa"/>
          </w:tcPr>
          <w:p w14:paraId="1056A17C" w14:textId="77777777" w:rsidR="008F189D" w:rsidRPr="008F189D" w:rsidRDefault="008F189D" w:rsidP="00F752B4">
            <w:pPr>
              <w:spacing w:before="60" w:after="60"/>
              <w:rPr>
                <w:bCs/>
              </w:rPr>
            </w:pPr>
            <w:r w:rsidRPr="008F189D">
              <w:rPr>
                <w:bCs/>
              </w:rPr>
              <w:t>Consolidated test report</w:t>
            </w:r>
            <w:r w:rsidR="004868A8">
              <w:rPr>
                <w:bCs/>
              </w:rPr>
              <w:t>,</w:t>
            </w:r>
            <w:r w:rsidRPr="008F189D">
              <w:rPr>
                <w:bCs/>
              </w:rPr>
              <w:br/>
              <w:t>updated DSD matrix</w:t>
            </w:r>
          </w:p>
        </w:tc>
      </w:tr>
      <w:tr w:rsidR="008F189D" w:rsidRPr="00AC2F65" w14:paraId="1056A183" w14:textId="77777777" w:rsidTr="00C22F98">
        <w:trPr>
          <w:cantSplit/>
        </w:trPr>
        <w:tc>
          <w:tcPr>
            <w:tcW w:w="1582" w:type="dxa"/>
            <w:shd w:val="clear" w:color="auto" w:fill="FBD4B4" w:themeFill="accent6" w:themeFillTint="66"/>
          </w:tcPr>
          <w:p w14:paraId="1056A17E" w14:textId="77777777" w:rsidR="008F189D" w:rsidRPr="008F189D" w:rsidRDefault="008F189D" w:rsidP="008F189D">
            <w:pPr>
              <w:spacing w:before="60" w:after="60"/>
              <w:rPr>
                <w:b/>
                <w:bCs/>
              </w:rPr>
            </w:pPr>
            <w:r w:rsidRPr="008F189D">
              <w:rPr>
                <w:b/>
                <w:bCs/>
              </w:rPr>
              <w:lastRenderedPageBreak/>
              <w:t>March Y+1</w:t>
            </w:r>
          </w:p>
        </w:tc>
        <w:tc>
          <w:tcPr>
            <w:tcW w:w="1503" w:type="dxa"/>
            <w:shd w:val="clear" w:color="auto" w:fill="auto"/>
          </w:tcPr>
          <w:p w14:paraId="1056A17F" w14:textId="77777777" w:rsidR="008F189D" w:rsidRPr="008F189D" w:rsidRDefault="008F189D" w:rsidP="008F189D">
            <w:pPr>
              <w:spacing w:before="60" w:after="60"/>
              <w:jc w:val="both"/>
              <w:rPr>
                <w:bCs/>
              </w:rPr>
            </w:pPr>
            <w:r w:rsidRPr="008F189D">
              <w:rPr>
                <w:bCs/>
              </w:rPr>
              <w:t>OG</w:t>
            </w:r>
          </w:p>
        </w:tc>
        <w:tc>
          <w:tcPr>
            <w:tcW w:w="4063" w:type="dxa"/>
            <w:shd w:val="clear" w:color="auto" w:fill="auto"/>
          </w:tcPr>
          <w:p w14:paraId="1056A180" w14:textId="77777777" w:rsidR="00140717" w:rsidRPr="00EF376A" w:rsidRDefault="008F189D" w:rsidP="00F752B4">
            <w:pPr>
              <w:spacing w:before="60" w:after="60"/>
              <w:rPr>
                <w:b/>
                <w:bCs/>
              </w:rPr>
            </w:pPr>
            <w:r w:rsidRPr="00EF376A">
              <w:rPr>
                <w:b/>
                <w:bCs/>
              </w:rPr>
              <w:t>OG Video Conference</w:t>
            </w:r>
          </w:p>
          <w:p w14:paraId="1056A181" w14:textId="77777777" w:rsidR="008F189D" w:rsidRPr="008F189D" w:rsidRDefault="008F189D" w:rsidP="00F752B4">
            <w:pPr>
              <w:spacing w:before="60" w:after="60"/>
              <w:rPr>
                <w:bCs/>
              </w:rPr>
            </w:pPr>
            <w:r w:rsidRPr="008F189D">
              <w:rPr>
                <w:bCs/>
              </w:rPr>
              <w:t>Final approval of revised DSDs</w:t>
            </w:r>
          </w:p>
        </w:tc>
        <w:tc>
          <w:tcPr>
            <w:tcW w:w="2977" w:type="dxa"/>
          </w:tcPr>
          <w:p w14:paraId="1056A182" w14:textId="77777777" w:rsidR="008F189D" w:rsidRPr="008F189D" w:rsidRDefault="008F189D" w:rsidP="00F752B4">
            <w:pPr>
              <w:spacing w:before="60" w:after="60"/>
              <w:rPr>
                <w:bCs/>
              </w:rPr>
            </w:pPr>
          </w:p>
        </w:tc>
      </w:tr>
      <w:tr w:rsidR="008F189D" w:rsidRPr="00AC2F65" w14:paraId="1056A188" w14:textId="77777777" w:rsidTr="00C22F98">
        <w:trPr>
          <w:cantSplit/>
        </w:trPr>
        <w:tc>
          <w:tcPr>
            <w:tcW w:w="1582" w:type="dxa"/>
            <w:shd w:val="clear" w:color="auto" w:fill="FBD4B4" w:themeFill="accent6" w:themeFillTint="66"/>
          </w:tcPr>
          <w:p w14:paraId="1056A184" w14:textId="77777777" w:rsidR="008F189D" w:rsidRPr="008F189D" w:rsidRDefault="008F189D" w:rsidP="008F189D">
            <w:pPr>
              <w:spacing w:before="60" w:after="60"/>
              <w:rPr>
                <w:b/>
                <w:bCs/>
              </w:rPr>
            </w:pPr>
            <w:r w:rsidRPr="008F189D">
              <w:rPr>
                <w:b/>
                <w:bCs/>
              </w:rPr>
              <w:t>April Y+1</w:t>
            </w:r>
          </w:p>
        </w:tc>
        <w:tc>
          <w:tcPr>
            <w:tcW w:w="1503" w:type="dxa"/>
            <w:shd w:val="clear" w:color="auto" w:fill="auto"/>
          </w:tcPr>
          <w:p w14:paraId="1056A185" w14:textId="77777777" w:rsidR="008F189D" w:rsidRPr="008F189D" w:rsidRDefault="008F189D" w:rsidP="008F189D">
            <w:pPr>
              <w:spacing w:before="60" w:after="60"/>
              <w:jc w:val="both"/>
              <w:rPr>
                <w:bCs/>
              </w:rPr>
            </w:pPr>
            <w:r w:rsidRPr="008F189D">
              <w:rPr>
                <w:bCs/>
              </w:rPr>
              <w:t>MA</w:t>
            </w:r>
          </w:p>
        </w:tc>
        <w:tc>
          <w:tcPr>
            <w:tcW w:w="4063" w:type="dxa"/>
            <w:shd w:val="clear" w:color="auto" w:fill="auto"/>
          </w:tcPr>
          <w:p w14:paraId="1056A186" w14:textId="77777777" w:rsidR="008F189D" w:rsidRPr="008F189D" w:rsidRDefault="008F189D" w:rsidP="00F752B4">
            <w:pPr>
              <w:spacing w:before="60" w:after="60"/>
              <w:rPr>
                <w:bCs/>
              </w:rPr>
            </w:pPr>
            <w:r w:rsidRPr="008F189D">
              <w:rPr>
                <w:bCs/>
              </w:rPr>
              <w:t>Publish new versions</w:t>
            </w:r>
          </w:p>
        </w:tc>
        <w:tc>
          <w:tcPr>
            <w:tcW w:w="2977" w:type="dxa"/>
          </w:tcPr>
          <w:p w14:paraId="1056A187" w14:textId="77777777" w:rsidR="008F189D" w:rsidRPr="008F189D" w:rsidRDefault="008F189D" w:rsidP="00F752B4">
            <w:pPr>
              <w:spacing w:before="60" w:after="60"/>
              <w:rPr>
                <w:bCs/>
              </w:rPr>
            </w:pPr>
            <w:r w:rsidRPr="008F189D">
              <w:rPr>
                <w:bCs/>
              </w:rPr>
              <w:t>Updated SDMX artefacts</w:t>
            </w:r>
          </w:p>
        </w:tc>
      </w:tr>
      <w:tr w:rsidR="008F189D" w:rsidRPr="00AC2F65" w14:paraId="1056A18D" w14:textId="77777777" w:rsidTr="00C22F98">
        <w:trPr>
          <w:cantSplit/>
        </w:trPr>
        <w:tc>
          <w:tcPr>
            <w:tcW w:w="1582" w:type="dxa"/>
            <w:shd w:val="clear" w:color="auto" w:fill="FBD4B4" w:themeFill="accent6" w:themeFillTint="66"/>
          </w:tcPr>
          <w:p w14:paraId="1056A189" w14:textId="77777777" w:rsidR="008F189D" w:rsidRPr="008F189D" w:rsidRDefault="008F189D" w:rsidP="008F189D">
            <w:pPr>
              <w:spacing w:before="60" w:after="60"/>
              <w:rPr>
                <w:b/>
                <w:bCs/>
              </w:rPr>
            </w:pPr>
            <w:r w:rsidRPr="008F189D">
              <w:rPr>
                <w:b/>
                <w:bCs/>
              </w:rPr>
              <w:t>May Y+1</w:t>
            </w:r>
          </w:p>
        </w:tc>
        <w:tc>
          <w:tcPr>
            <w:tcW w:w="1503" w:type="dxa"/>
            <w:shd w:val="clear" w:color="auto" w:fill="auto"/>
          </w:tcPr>
          <w:p w14:paraId="1056A18A" w14:textId="77777777" w:rsidR="008F189D" w:rsidRPr="008F189D" w:rsidRDefault="008F189D" w:rsidP="008F189D">
            <w:pPr>
              <w:spacing w:before="60" w:after="60"/>
              <w:jc w:val="both"/>
              <w:rPr>
                <w:bCs/>
              </w:rPr>
            </w:pPr>
            <w:r w:rsidRPr="008F189D">
              <w:rPr>
                <w:bCs/>
              </w:rPr>
              <w:t>International organisations concerned</w:t>
            </w:r>
          </w:p>
        </w:tc>
        <w:tc>
          <w:tcPr>
            <w:tcW w:w="4063" w:type="dxa"/>
            <w:shd w:val="clear" w:color="auto" w:fill="auto"/>
          </w:tcPr>
          <w:p w14:paraId="1056A18B" w14:textId="77777777" w:rsidR="008F189D" w:rsidRPr="008F189D" w:rsidRDefault="008F189D" w:rsidP="00F752B4">
            <w:pPr>
              <w:spacing w:before="60" w:after="60"/>
              <w:rPr>
                <w:bCs/>
              </w:rPr>
            </w:pPr>
            <w:r w:rsidRPr="008F189D">
              <w:rPr>
                <w:bCs/>
              </w:rPr>
              <w:t>Implementation of data reception and international data sharing systems</w:t>
            </w:r>
          </w:p>
        </w:tc>
        <w:tc>
          <w:tcPr>
            <w:tcW w:w="2977" w:type="dxa"/>
          </w:tcPr>
          <w:p w14:paraId="1056A18C" w14:textId="77777777" w:rsidR="008F189D" w:rsidRPr="008F189D" w:rsidRDefault="008F189D" w:rsidP="00F752B4">
            <w:pPr>
              <w:spacing w:before="60" w:after="60"/>
              <w:rPr>
                <w:bCs/>
              </w:rPr>
            </w:pPr>
          </w:p>
        </w:tc>
      </w:tr>
      <w:tr w:rsidR="008F189D" w:rsidRPr="00AC2F65" w14:paraId="1056A192" w14:textId="77777777" w:rsidTr="00C22F98">
        <w:trPr>
          <w:cantSplit/>
        </w:trPr>
        <w:tc>
          <w:tcPr>
            <w:tcW w:w="1582" w:type="dxa"/>
            <w:shd w:val="clear" w:color="auto" w:fill="FBD4B4" w:themeFill="accent6" w:themeFillTint="66"/>
          </w:tcPr>
          <w:p w14:paraId="1056A18E" w14:textId="77777777" w:rsidR="008F189D" w:rsidRPr="008F189D" w:rsidRDefault="008F189D" w:rsidP="008F189D">
            <w:pPr>
              <w:spacing w:before="60" w:after="60"/>
              <w:rPr>
                <w:b/>
                <w:bCs/>
              </w:rPr>
            </w:pPr>
            <w:r w:rsidRPr="008F189D">
              <w:rPr>
                <w:b/>
                <w:bCs/>
              </w:rPr>
              <w:t>From</w:t>
            </w:r>
            <w:r w:rsidRPr="008F189D">
              <w:rPr>
                <w:b/>
                <w:bCs/>
              </w:rPr>
              <w:br/>
              <w:t>May Y+1</w:t>
            </w:r>
          </w:p>
        </w:tc>
        <w:tc>
          <w:tcPr>
            <w:tcW w:w="1503" w:type="dxa"/>
            <w:shd w:val="clear" w:color="auto" w:fill="auto"/>
          </w:tcPr>
          <w:p w14:paraId="1056A18F" w14:textId="77777777" w:rsidR="008F189D" w:rsidRPr="008F189D" w:rsidRDefault="008F189D" w:rsidP="008F189D">
            <w:pPr>
              <w:spacing w:before="60" w:after="60"/>
              <w:jc w:val="both"/>
              <w:rPr>
                <w:bCs/>
              </w:rPr>
            </w:pPr>
            <w:r w:rsidRPr="008F189D">
              <w:rPr>
                <w:bCs/>
              </w:rPr>
              <w:t>National organisations concerned</w:t>
            </w:r>
          </w:p>
        </w:tc>
        <w:tc>
          <w:tcPr>
            <w:tcW w:w="4063" w:type="dxa"/>
            <w:shd w:val="clear" w:color="auto" w:fill="auto"/>
          </w:tcPr>
          <w:p w14:paraId="1056A190" w14:textId="77777777" w:rsidR="008F189D" w:rsidRPr="008F189D" w:rsidRDefault="008F189D" w:rsidP="00F752B4">
            <w:pPr>
              <w:spacing w:before="60" w:after="60"/>
              <w:rPr>
                <w:bCs/>
              </w:rPr>
            </w:pPr>
            <w:r w:rsidRPr="008F189D">
              <w:rPr>
                <w:bCs/>
              </w:rPr>
              <w:t>Implementation of affected system as lined out in constituency implementation plan</w:t>
            </w:r>
          </w:p>
        </w:tc>
        <w:tc>
          <w:tcPr>
            <w:tcW w:w="2977" w:type="dxa"/>
          </w:tcPr>
          <w:p w14:paraId="1056A191" w14:textId="77777777" w:rsidR="008F189D" w:rsidRPr="008F189D" w:rsidRDefault="008F189D" w:rsidP="00F752B4">
            <w:pPr>
              <w:spacing w:before="60" w:after="60"/>
              <w:rPr>
                <w:bCs/>
              </w:rPr>
            </w:pPr>
          </w:p>
        </w:tc>
      </w:tr>
    </w:tbl>
    <w:p w14:paraId="1056A193" w14:textId="77777777" w:rsidR="00900A52" w:rsidRDefault="00900A52" w:rsidP="008F189D">
      <w:pPr>
        <w:pStyle w:val="Heading2"/>
      </w:pPr>
    </w:p>
    <w:p w14:paraId="1056A194" w14:textId="77777777" w:rsidR="008F189D" w:rsidRDefault="008F189D" w:rsidP="008F189D">
      <w:pPr>
        <w:pStyle w:val="Heading2"/>
      </w:pPr>
      <w:r w:rsidRPr="00AC2F65">
        <w:t>Fast Track Maintenance Cycle</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7"/>
        <w:gridCol w:w="2310"/>
        <w:gridCol w:w="5632"/>
      </w:tblGrid>
      <w:tr w:rsidR="008F189D" w:rsidRPr="008F189D" w14:paraId="1056A198" w14:textId="77777777" w:rsidTr="00D0484F">
        <w:tc>
          <w:tcPr>
            <w:tcW w:w="1947" w:type="dxa"/>
            <w:shd w:val="clear" w:color="auto" w:fill="E36C0A" w:themeFill="accent6" w:themeFillShade="BF"/>
          </w:tcPr>
          <w:p w14:paraId="1056A195" w14:textId="77777777" w:rsidR="008F189D" w:rsidRPr="008F189D" w:rsidRDefault="008F189D" w:rsidP="005D2DE2">
            <w:pPr>
              <w:keepNext/>
              <w:keepLines/>
              <w:spacing w:before="120" w:after="120" w:line="240" w:lineRule="auto"/>
              <w:rPr>
                <w:b/>
                <w:bCs/>
                <w:color w:val="FFFFFF"/>
                <w:sz w:val="24"/>
                <w:szCs w:val="24"/>
              </w:rPr>
            </w:pPr>
            <w:r w:rsidRPr="008F189D">
              <w:rPr>
                <w:b/>
                <w:bCs/>
                <w:color w:val="FFFFFF"/>
                <w:sz w:val="24"/>
                <w:szCs w:val="24"/>
              </w:rPr>
              <w:t>Until</w:t>
            </w:r>
          </w:p>
        </w:tc>
        <w:tc>
          <w:tcPr>
            <w:tcW w:w="2310" w:type="dxa"/>
            <w:shd w:val="clear" w:color="auto" w:fill="E36C0A" w:themeFill="accent6" w:themeFillShade="BF"/>
          </w:tcPr>
          <w:p w14:paraId="1056A196" w14:textId="77777777" w:rsidR="008F189D" w:rsidRPr="008F189D" w:rsidRDefault="008F189D" w:rsidP="008F189D">
            <w:pPr>
              <w:keepNext/>
              <w:keepLines/>
              <w:spacing w:before="120" w:after="120" w:line="240" w:lineRule="auto"/>
              <w:rPr>
                <w:b/>
                <w:bCs/>
                <w:color w:val="FFFFFF"/>
                <w:sz w:val="24"/>
                <w:szCs w:val="24"/>
              </w:rPr>
            </w:pPr>
            <w:r w:rsidRPr="008F189D">
              <w:rPr>
                <w:b/>
                <w:bCs/>
                <w:color w:val="FFFFFF"/>
                <w:sz w:val="24"/>
                <w:szCs w:val="24"/>
              </w:rPr>
              <w:t>Who</w:t>
            </w:r>
          </w:p>
        </w:tc>
        <w:tc>
          <w:tcPr>
            <w:tcW w:w="5632" w:type="dxa"/>
            <w:shd w:val="clear" w:color="auto" w:fill="E36C0A" w:themeFill="accent6" w:themeFillShade="BF"/>
          </w:tcPr>
          <w:p w14:paraId="1056A197" w14:textId="77777777" w:rsidR="008F189D" w:rsidRPr="008F189D" w:rsidRDefault="008F189D" w:rsidP="008F189D">
            <w:pPr>
              <w:keepNext/>
              <w:keepLines/>
              <w:spacing w:before="120" w:after="120" w:line="240" w:lineRule="auto"/>
              <w:rPr>
                <w:b/>
                <w:bCs/>
                <w:color w:val="FFFFFF"/>
                <w:sz w:val="24"/>
                <w:szCs w:val="24"/>
              </w:rPr>
            </w:pPr>
            <w:r w:rsidRPr="008F189D">
              <w:rPr>
                <w:b/>
                <w:bCs/>
                <w:color w:val="FFFFFF"/>
                <w:sz w:val="24"/>
                <w:szCs w:val="24"/>
              </w:rPr>
              <w:t>What</w:t>
            </w:r>
          </w:p>
        </w:tc>
      </w:tr>
      <w:tr w:rsidR="008F189D" w:rsidRPr="00AC2F65" w14:paraId="1056A19D" w14:textId="77777777" w:rsidTr="00D0484F">
        <w:tc>
          <w:tcPr>
            <w:tcW w:w="1947" w:type="dxa"/>
            <w:shd w:val="clear" w:color="auto" w:fill="FBD4B4" w:themeFill="accent6" w:themeFillTint="66"/>
          </w:tcPr>
          <w:p w14:paraId="1056A199" w14:textId="77777777" w:rsidR="008F189D" w:rsidRPr="008F189D" w:rsidRDefault="008F189D" w:rsidP="0087090D">
            <w:pPr>
              <w:spacing w:before="60" w:after="60"/>
              <w:rPr>
                <w:b/>
                <w:bCs/>
              </w:rPr>
            </w:pPr>
            <w:r w:rsidRPr="008F189D">
              <w:rPr>
                <w:b/>
                <w:bCs/>
              </w:rPr>
              <w:t xml:space="preserve">End of </w:t>
            </w:r>
            <w:r w:rsidR="0087090D">
              <w:rPr>
                <w:b/>
                <w:bCs/>
              </w:rPr>
              <w:t>any month</w:t>
            </w:r>
          </w:p>
        </w:tc>
        <w:tc>
          <w:tcPr>
            <w:tcW w:w="2310" w:type="dxa"/>
            <w:shd w:val="clear" w:color="auto" w:fill="auto"/>
          </w:tcPr>
          <w:p w14:paraId="1056A19A" w14:textId="77777777" w:rsidR="008F189D" w:rsidRPr="008F189D" w:rsidRDefault="004A466E" w:rsidP="004A466E">
            <w:pPr>
              <w:spacing w:before="60" w:after="60"/>
              <w:jc w:val="both"/>
              <w:rPr>
                <w:bCs/>
              </w:rPr>
            </w:pPr>
            <w:r>
              <w:rPr>
                <w:bCs/>
              </w:rPr>
              <w:t>Members of the OG</w:t>
            </w:r>
          </w:p>
        </w:tc>
        <w:tc>
          <w:tcPr>
            <w:tcW w:w="5632" w:type="dxa"/>
            <w:shd w:val="clear" w:color="auto" w:fill="auto"/>
          </w:tcPr>
          <w:p w14:paraId="1056A19B" w14:textId="77777777" w:rsidR="008F189D" w:rsidRPr="008F189D" w:rsidRDefault="008F189D" w:rsidP="008F189D">
            <w:pPr>
              <w:spacing w:before="60" w:after="60"/>
              <w:jc w:val="both"/>
              <w:rPr>
                <w:bCs/>
              </w:rPr>
            </w:pPr>
            <w:r w:rsidRPr="008F189D">
              <w:rPr>
                <w:bCs/>
              </w:rPr>
              <w:t>Deadline for change requests</w:t>
            </w:r>
          </w:p>
          <w:p w14:paraId="1056A19C" w14:textId="77777777" w:rsidR="008F189D" w:rsidRPr="008F189D" w:rsidRDefault="008F189D" w:rsidP="008F189D">
            <w:pPr>
              <w:spacing w:before="60" w:after="60"/>
              <w:jc w:val="both"/>
              <w:rPr>
                <w:bCs/>
              </w:rPr>
            </w:pPr>
          </w:p>
        </w:tc>
      </w:tr>
      <w:tr w:rsidR="008F189D" w:rsidRPr="00AC2F65" w14:paraId="1056A1A2" w14:textId="77777777" w:rsidTr="00D0484F">
        <w:tc>
          <w:tcPr>
            <w:tcW w:w="1947" w:type="dxa"/>
            <w:shd w:val="clear" w:color="auto" w:fill="FBD4B4" w:themeFill="accent6" w:themeFillTint="66"/>
          </w:tcPr>
          <w:p w14:paraId="1056A19E" w14:textId="77777777" w:rsidR="008F189D" w:rsidRPr="008F189D" w:rsidRDefault="007F4548" w:rsidP="008F189D">
            <w:pPr>
              <w:spacing w:before="60" w:after="60"/>
              <w:rPr>
                <w:b/>
                <w:bCs/>
              </w:rPr>
            </w:pPr>
            <w:r>
              <w:rPr>
                <w:b/>
                <w:bCs/>
              </w:rPr>
              <w:t xml:space="preserve">At the latest </w:t>
            </w:r>
            <w:r w:rsidR="008F189D" w:rsidRPr="008F189D">
              <w:rPr>
                <w:b/>
                <w:bCs/>
              </w:rPr>
              <w:t>M+1</w:t>
            </w:r>
          </w:p>
        </w:tc>
        <w:tc>
          <w:tcPr>
            <w:tcW w:w="2310" w:type="dxa"/>
            <w:shd w:val="clear" w:color="auto" w:fill="auto"/>
          </w:tcPr>
          <w:p w14:paraId="1056A19F" w14:textId="77777777" w:rsidR="008F189D" w:rsidRPr="008F189D" w:rsidRDefault="008F189D" w:rsidP="00900A52">
            <w:pPr>
              <w:spacing w:before="60" w:after="60"/>
              <w:rPr>
                <w:bCs/>
              </w:rPr>
            </w:pPr>
            <w:r w:rsidRPr="008F189D">
              <w:rPr>
                <w:bCs/>
              </w:rPr>
              <w:t>MA</w:t>
            </w:r>
            <w:r w:rsidR="00900A52">
              <w:rPr>
                <w:bCs/>
              </w:rPr>
              <w:t>, in cooperation with TG(s)</w:t>
            </w:r>
          </w:p>
        </w:tc>
        <w:tc>
          <w:tcPr>
            <w:tcW w:w="5632" w:type="dxa"/>
            <w:shd w:val="clear" w:color="auto" w:fill="auto"/>
          </w:tcPr>
          <w:p w14:paraId="1056A1A0" w14:textId="77777777" w:rsidR="008F189D" w:rsidRPr="008F189D" w:rsidRDefault="008F189D" w:rsidP="008F189D">
            <w:pPr>
              <w:spacing w:before="60" w:after="60"/>
              <w:jc w:val="both"/>
              <w:rPr>
                <w:bCs/>
              </w:rPr>
            </w:pPr>
            <w:r w:rsidRPr="008F189D">
              <w:rPr>
                <w:bCs/>
              </w:rPr>
              <w:t>Consolidation of change requests within domain (and across domain</w:t>
            </w:r>
            <w:r w:rsidR="00D0484F">
              <w:rPr>
                <w:bCs/>
              </w:rPr>
              <w:t>s</w:t>
            </w:r>
            <w:r w:rsidRPr="008F189D">
              <w:rPr>
                <w:bCs/>
              </w:rPr>
              <w:t xml:space="preserve"> if shared artefacts are affected) and draft DSD matrix</w:t>
            </w:r>
          </w:p>
          <w:p w14:paraId="1056A1A1" w14:textId="77777777" w:rsidR="008F189D" w:rsidRPr="008F189D" w:rsidRDefault="008F189D" w:rsidP="008F189D">
            <w:pPr>
              <w:spacing w:before="60" w:after="60"/>
              <w:jc w:val="both"/>
              <w:rPr>
                <w:bCs/>
              </w:rPr>
            </w:pPr>
          </w:p>
        </w:tc>
      </w:tr>
      <w:tr w:rsidR="008F189D" w:rsidRPr="00AC2F65" w14:paraId="1056A1A7" w14:textId="77777777" w:rsidTr="00D0484F">
        <w:tc>
          <w:tcPr>
            <w:tcW w:w="1947" w:type="dxa"/>
            <w:shd w:val="clear" w:color="auto" w:fill="FBD4B4" w:themeFill="accent6" w:themeFillTint="66"/>
          </w:tcPr>
          <w:p w14:paraId="1056A1A3" w14:textId="77777777" w:rsidR="008F189D" w:rsidRPr="008F189D" w:rsidRDefault="007F4548" w:rsidP="008F189D">
            <w:pPr>
              <w:spacing w:before="60" w:after="60"/>
              <w:rPr>
                <w:b/>
                <w:bCs/>
              </w:rPr>
            </w:pPr>
            <w:r>
              <w:rPr>
                <w:b/>
                <w:bCs/>
              </w:rPr>
              <w:t xml:space="preserve">At the latest </w:t>
            </w:r>
            <w:r w:rsidR="008F189D" w:rsidRPr="008F189D">
              <w:rPr>
                <w:b/>
                <w:bCs/>
              </w:rPr>
              <w:t>M+2</w:t>
            </w:r>
          </w:p>
        </w:tc>
        <w:tc>
          <w:tcPr>
            <w:tcW w:w="2310" w:type="dxa"/>
            <w:shd w:val="clear" w:color="auto" w:fill="auto"/>
          </w:tcPr>
          <w:p w14:paraId="1056A1A4" w14:textId="77777777" w:rsidR="008F189D" w:rsidRPr="008F189D" w:rsidRDefault="008F189D" w:rsidP="008F189D">
            <w:pPr>
              <w:spacing w:before="60" w:after="60"/>
              <w:jc w:val="both"/>
              <w:rPr>
                <w:bCs/>
              </w:rPr>
            </w:pPr>
            <w:r w:rsidRPr="008F189D">
              <w:rPr>
                <w:bCs/>
              </w:rPr>
              <w:t>OG</w:t>
            </w:r>
          </w:p>
        </w:tc>
        <w:tc>
          <w:tcPr>
            <w:tcW w:w="5632" w:type="dxa"/>
            <w:shd w:val="clear" w:color="auto" w:fill="auto"/>
          </w:tcPr>
          <w:p w14:paraId="1056A1A5" w14:textId="77777777" w:rsidR="008F189D" w:rsidRPr="008F189D" w:rsidRDefault="008F189D" w:rsidP="008F189D">
            <w:pPr>
              <w:spacing w:before="60" w:after="60"/>
              <w:jc w:val="both"/>
              <w:rPr>
                <w:bCs/>
              </w:rPr>
            </w:pPr>
            <w:r w:rsidRPr="008F189D">
              <w:rPr>
                <w:bCs/>
              </w:rPr>
              <w:t xml:space="preserve">Written consultation of constituencies </w:t>
            </w:r>
            <w:r w:rsidR="005D2DE2">
              <w:rPr>
                <w:bCs/>
              </w:rPr>
              <w:t xml:space="preserve">concerned </w:t>
            </w:r>
            <w:r w:rsidRPr="008F189D">
              <w:rPr>
                <w:bCs/>
              </w:rPr>
              <w:t>and OG approval</w:t>
            </w:r>
          </w:p>
          <w:p w14:paraId="1056A1A6" w14:textId="77777777" w:rsidR="008F189D" w:rsidRPr="008F189D" w:rsidRDefault="008F189D" w:rsidP="008F189D">
            <w:pPr>
              <w:spacing w:before="60" w:after="60"/>
              <w:jc w:val="both"/>
              <w:rPr>
                <w:bCs/>
              </w:rPr>
            </w:pPr>
          </w:p>
        </w:tc>
      </w:tr>
      <w:tr w:rsidR="008F189D" w:rsidRPr="00AC2F65" w14:paraId="1056A1AC" w14:textId="77777777" w:rsidTr="00D0484F">
        <w:tc>
          <w:tcPr>
            <w:tcW w:w="1947" w:type="dxa"/>
            <w:shd w:val="clear" w:color="auto" w:fill="FBD4B4" w:themeFill="accent6" w:themeFillTint="66"/>
          </w:tcPr>
          <w:p w14:paraId="1056A1A8" w14:textId="77777777" w:rsidR="008F189D" w:rsidRPr="008F189D" w:rsidRDefault="008F189D" w:rsidP="000A1E6D">
            <w:pPr>
              <w:spacing w:before="60" w:after="60"/>
              <w:rPr>
                <w:b/>
                <w:bCs/>
              </w:rPr>
            </w:pPr>
          </w:p>
        </w:tc>
        <w:tc>
          <w:tcPr>
            <w:tcW w:w="2310" w:type="dxa"/>
            <w:shd w:val="clear" w:color="auto" w:fill="auto"/>
          </w:tcPr>
          <w:p w14:paraId="1056A1A9" w14:textId="77777777" w:rsidR="008F189D" w:rsidRPr="008F189D" w:rsidRDefault="008F189D" w:rsidP="008F189D">
            <w:pPr>
              <w:spacing w:before="60" w:after="60"/>
              <w:jc w:val="both"/>
              <w:rPr>
                <w:bCs/>
              </w:rPr>
            </w:pPr>
            <w:r w:rsidRPr="008F189D">
              <w:rPr>
                <w:bCs/>
              </w:rPr>
              <w:t>MA, OG</w:t>
            </w:r>
          </w:p>
        </w:tc>
        <w:tc>
          <w:tcPr>
            <w:tcW w:w="5632" w:type="dxa"/>
            <w:shd w:val="clear" w:color="auto" w:fill="auto"/>
          </w:tcPr>
          <w:p w14:paraId="1056A1AA" w14:textId="77777777" w:rsidR="008F189D" w:rsidRPr="008F189D" w:rsidRDefault="008F189D" w:rsidP="008F189D">
            <w:pPr>
              <w:spacing w:before="60" w:after="60"/>
              <w:jc w:val="both"/>
              <w:rPr>
                <w:bCs/>
              </w:rPr>
            </w:pPr>
            <w:r w:rsidRPr="008F189D">
              <w:rPr>
                <w:bCs/>
              </w:rPr>
              <w:t>Updated DSD matrix and draft DSDs</w:t>
            </w:r>
          </w:p>
          <w:p w14:paraId="1056A1AB" w14:textId="77777777" w:rsidR="008F189D" w:rsidRPr="008F189D" w:rsidRDefault="008F189D" w:rsidP="008F189D">
            <w:pPr>
              <w:spacing w:before="60" w:after="60"/>
              <w:jc w:val="both"/>
              <w:rPr>
                <w:bCs/>
              </w:rPr>
            </w:pPr>
          </w:p>
        </w:tc>
      </w:tr>
      <w:tr w:rsidR="008F189D" w:rsidRPr="00AC2F65" w14:paraId="1056A1B0" w14:textId="77777777" w:rsidTr="00D0484F">
        <w:tc>
          <w:tcPr>
            <w:tcW w:w="1947" w:type="dxa"/>
            <w:shd w:val="clear" w:color="auto" w:fill="FBD4B4" w:themeFill="accent6" w:themeFillTint="66"/>
          </w:tcPr>
          <w:p w14:paraId="1056A1AD" w14:textId="77777777" w:rsidR="008F189D" w:rsidRPr="008F189D" w:rsidRDefault="008F189D" w:rsidP="008F189D">
            <w:pPr>
              <w:spacing w:before="60" w:after="60"/>
              <w:rPr>
                <w:b/>
                <w:bCs/>
              </w:rPr>
            </w:pPr>
          </w:p>
        </w:tc>
        <w:tc>
          <w:tcPr>
            <w:tcW w:w="2310" w:type="dxa"/>
            <w:shd w:val="clear" w:color="auto" w:fill="auto"/>
          </w:tcPr>
          <w:p w14:paraId="1056A1AE" w14:textId="77777777" w:rsidR="008F189D" w:rsidRPr="008F189D" w:rsidRDefault="000A1E6D" w:rsidP="008F189D">
            <w:pPr>
              <w:spacing w:before="60" w:after="60"/>
              <w:jc w:val="both"/>
              <w:rPr>
                <w:bCs/>
              </w:rPr>
            </w:pPr>
            <w:r>
              <w:rPr>
                <w:bCs/>
              </w:rPr>
              <w:t>Constituencies</w:t>
            </w:r>
            <w:r w:rsidRPr="008F189D">
              <w:rPr>
                <w:bCs/>
              </w:rPr>
              <w:t xml:space="preserve"> </w:t>
            </w:r>
            <w:r w:rsidR="008F189D" w:rsidRPr="008F189D">
              <w:rPr>
                <w:bCs/>
              </w:rPr>
              <w:t>concerned</w:t>
            </w:r>
          </w:p>
        </w:tc>
        <w:tc>
          <w:tcPr>
            <w:tcW w:w="5632" w:type="dxa"/>
            <w:shd w:val="clear" w:color="auto" w:fill="auto"/>
          </w:tcPr>
          <w:p w14:paraId="1056A1AF" w14:textId="77777777" w:rsidR="008F189D" w:rsidRPr="008F189D" w:rsidRDefault="008F189D" w:rsidP="008F189D">
            <w:pPr>
              <w:spacing w:before="60" w:after="60"/>
              <w:jc w:val="both"/>
              <w:rPr>
                <w:bCs/>
              </w:rPr>
            </w:pPr>
            <w:r w:rsidRPr="008F189D">
              <w:rPr>
                <w:bCs/>
              </w:rPr>
              <w:t>Testing</w:t>
            </w:r>
            <w:r w:rsidRPr="008F189D">
              <w:rPr>
                <w:bCs/>
              </w:rPr>
              <w:br/>
            </w:r>
          </w:p>
        </w:tc>
      </w:tr>
      <w:tr w:rsidR="008F189D" w:rsidRPr="00AC2F65" w14:paraId="1056A1B5" w14:textId="77777777" w:rsidTr="00D0484F">
        <w:tc>
          <w:tcPr>
            <w:tcW w:w="1947" w:type="dxa"/>
            <w:shd w:val="clear" w:color="auto" w:fill="FBD4B4" w:themeFill="accent6" w:themeFillTint="66"/>
          </w:tcPr>
          <w:p w14:paraId="1056A1B1" w14:textId="77777777" w:rsidR="008F189D" w:rsidRPr="008F189D" w:rsidRDefault="007F4548" w:rsidP="000A1E6D">
            <w:pPr>
              <w:spacing w:before="60" w:after="60"/>
              <w:rPr>
                <w:b/>
                <w:bCs/>
              </w:rPr>
            </w:pPr>
            <w:r>
              <w:rPr>
                <w:b/>
                <w:bCs/>
              </w:rPr>
              <w:t>At the latest</w:t>
            </w:r>
            <w:r>
              <w:rPr>
                <w:b/>
                <w:bCs/>
              </w:rPr>
              <w:br/>
              <w:t>e</w:t>
            </w:r>
            <w:r w:rsidRPr="008F189D">
              <w:rPr>
                <w:b/>
                <w:bCs/>
              </w:rPr>
              <w:t xml:space="preserve">nd </w:t>
            </w:r>
            <w:r w:rsidR="008F189D" w:rsidRPr="008F189D">
              <w:rPr>
                <w:b/>
                <w:bCs/>
              </w:rPr>
              <w:t>M+3</w:t>
            </w:r>
          </w:p>
        </w:tc>
        <w:tc>
          <w:tcPr>
            <w:tcW w:w="2310" w:type="dxa"/>
            <w:shd w:val="clear" w:color="auto" w:fill="auto"/>
          </w:tcPr>
          <w:p w14:paraId="1056A1B2" w14:textId="77777777" w:rsidR="008F189D" w:rsidRPr="008F189D" w:rsidRDefault="008F189D" w:rsidP="008F189D">
            <w:pPr>
              <w:spacing w:before="60" w:after="60"/>
              <w:jc w:val="both"/>
              <w:rPr>
                <w:bCs/>
              </w:rPr>
            </w:pPr>
            <w:r w:rsidRPr="008F189D">
              <w:rPr>
                <w:bCs/>
              </w:rPr>
              <w:t>MA</w:t>
            </w:r>
          </w:p>
        </w:tc>
        <w:tc>
          <w:tcPr>
            <w:tcW w:w="5632" w:type="dxa"/>
            <w:shd w:val="clear" w:color="auto" w:fill="auto"/>
          </w:tcPr>
          <w:p w14:paraId="1056A1B3" w14:textId="77777777" w:rsidR="008F189D" w:rsidRPr="008F189D" w:rsidRDefault="008F189D" w:rsidP="008F189D">
            <w:pPr>
              <w:spacing w:before="60" w:after="60"/>
              <w:jc w:val="both"/>
              <w:rPr>
                <w:bCs/>
              </w:rPr>
            </w:pPr>
            <w:r w:rsidRPr="008F189D">
              <w:rPr>
                <w:bCs/>
              </w:rPr>
              <w:t>Publish new DSDs</w:t>
            </w:r>
          </w:p>
          <w:p w14:paraId="1056A1B4" w14:textId="77777777" w:rsidR="008F189D" w:rsidRPr="008F189D" w:rsidRDefault="008F189D" w:rsidP="008F189D">
            <w:pPr>
              <w:spacing w:before="60" w:after="60"/>
              <w:jc w:val="both"/>
              <w:rPr>
                <w:bCs/>
              </w:rPr>
            </w:pPr>
          </w:p>
        </w:tc>
      </w:tr>
    </w:tbl>
    <w:p w14:paraId="1056A1B6" w14:textId="77777777" w:rsidR="008F189D" w:rsidRDefault="008F189D" w:rsidP="00343E29">
      <w:pPr>
        <w:pStyle w:val="Heading1"/>
      </w:pPr>
      <w:r>
        <w:br w:type="page"/>
      </w:r>
    </w:p>
    <w:p w14:paraId="1056A1B7" w14:textId="77777777" w:rsidR="00502CB1" w:rsidRDefault="00502CB1" w:rsidP="008A5578">
      <w:pPr>
        <w:pStyle w:val="Heading1"/>
      </w:pPr>
      <w:r w:rsidRPr="008A5578">
        <w:lastRenderedPageBreak/>
        <w:t>Document History</w:t>
      </w:r>
    </w:p>
    <w:tbl>
      <w:tblPr>
        <w:tblW w:w="10204" w:type="dxa"/>
        <w:tblBorders>
          <w:top w:val="single" w:sz="8" w:space="0" w:color="FF0000"/>
          <w:left w:val="single" w:sz="8" w:space="0" w:color="FF0000"/>
          <w:bottom w:val="single" w:sz="8" w:space="0" w:color="FF0000"/>
          <w:right w:val="single" w:sz="8" w:space="0" w:color="FF0000"/>
        </w:tblBorders>
        <w:tblLook w:val="04A0" w:firstRow="1" w:lastRow="0" w:firstColumn="1" w:lastColumn="0" w:noHBand="0" w:noVBand="1"/>
      </w:tblPr>
      <w:tblGrid>
        <w:gridCol w:w="1270"/>
        <w:gridCol w:w="1430"/>
        <w:gridCol w:w="1911"/>
        <w:gridCol w:w="2400"/>
        <w:gridCol w:w="3193"/>
      </w:tblGrid>
      <w:tr w:rsidR="00A4680E" w:rsidRPr="003611CA" w14:paraId="1056A1BD" w14:textId="77777777" w:rsidTr="004E70D6">
        <w:trPr>
          <w:cantSplit/>
          <w:tblHeader/>
        </w:trPr>
        <w:tc>
          <w:tcPr>
            <w:tcW w:w="1270" w:type="dxa"/>
            <w:tcBorders>
              <w:top w:val="single" w:sz="8" w:space="0" w:color="FF0000"/>
              <w:left w:val="single" w:sz="8" w:space="0" w:color="FF0000"/>
              <w:bottom w:val="single" w:sz="8" w:space="0" w:color="FF0000"/>
              <w:right w:val="single" w:sz="8" w:space="0" w:color="FF0000"/>
            </w:tcBorders>
            <w:shd w:val="clear" w:color="auto" w:fill="F79646"/>
          </w:tcPr>
          <w:p w14:paraId="1056A1B8" w14:textId="77777777" w:rsidR="00A4680E" w:rsidRPr="003611CA" w:rsidRDefault="00A4680E" w:rsidP="008F189D">
            <w:pPr>
              <w:keepNext/>
              <w:spacing w:before="120" w:after="120" w:line="240" w:lineRule="auto"/>
              <w:jc w:val="center"/>
              <w:rPr>
                <w:b/>
                <w:bCs/>
                <w:color w:val="FFFFFF"/>
                <w:sz w:val="24"/>
                <w:szCs w:val="24"/>
              </w:rPr>
            </w:pPr>
            <w:r>
              <w:rPr>
                <w:b/>
                <w:bCs/>
                <w:color w:val="FFFFFF"/>
                <w:sz w:val="24"/>
                <w:szCs w:val="24"/>
              </w:rPr>
              <w:t>Version</w:t>
            </w:r>
          </w:p>
        </w:tc>
        <w:tc>
          <w:tcPr>
            <w:tcW w:w="1430" w:type="dxa"/>
            <w:tcBorders>
              <w:top w:val="single" w:sz="8" w:space="0" w:color="FF0000"/>
              <w:left w:val="single" w:sz="8" w:space="0" w:color="FF0000"/>
              <w:bottom w:val="single" w:sz="8" w:space="0" w:color="FF0000"/>
              <w:right w:val="single" w:sz="8" w:space="0" w:color="FF0000"/>
            </w:tcBorders>
            <w:shd w:val="clear" w:color="auto" w:fill="F79646"/>
          </w:tcPr>
          <w:p w14:paraId="1056A1B9" w14:textId="77777777" w:rsidR="00A4680E" w:rsidRPr="003611CA" w:rsidRDefault="00A4680E" w:rsidP="008F189D">
            <w:pPr>
              <w:keepNext/>
              <w:spacing w:before="120" w:after="120" w:line="240" w:lineRule="auto"/>
              <w:jc w:val="center"/>
              <w:rPr>
                <w:b/>
                <w:bCs/>
                <w:color w:val="FFFFFF"/>
                <w:sz w:val="24"/>
                <w:szCs w:val="24"/>
              </w:rPr>
            </w:pPr>
            <w:r>
              <w:rPr>
                <w:b/>
                <w:bCs/>
                <w:color w:val="FFFFFF"/>
                <w:sz w:val="24"/>
                <w:szCs w:val="24"/>
              </w:rPr>
              <w:t>Date</w:t>
            </w:r>
          </w:p>
        </w:tc>
        <w:tc>
          <w:tcPr>
            <w:tcW w:w="1911" w:type="dxa"/>
            <w:tcBorders>
              <w:top w:val="single" w:sz="8" w:space="0" w:color="FF0000"/>
              <w:left w:val="single" w:sz="8" w:space="0" w:color="FF0000"/>
              <w:bottom w:val="single" w:sz="8" w:space="0" w:color="FF0000"/>
              <w:right w:val="single" w:sz="8" w:space="0" w:color="FF0000"/>
            </w:tcBorders>
            <w:shd w:val="clear" w:color="auto" w:fill="F79646"/>
          </w:tcPr>
          <w:p w14:paraId="1056A1BA" w14:textId="77777777" w:rsidR="00A4680E" w:rsidRPr="003611CA" w:rsidRDefault="00A4680E" w:rsidP="008F189D">
            <w:pPr>
              <w:keepNext/>
              <w:spacing w:before="120" w:after="120" w:line="240" w:lineRule="auto"/>
              <w:jc w:val="center"/>
              <w:rPr>
                <w:b/>
                <w:bCs/>
                <w:color w:val="FFFFFF"/>
                <w:sz w:val="24"/>
                <w:szCs w:val="24"/>
              </w:rPr>
            </w:pPr>
            <w:r>
              <w:rPr>
                <w:b/>
                <w:bCs/>
                <w:color w:val="FFFFFF"/>
                <w:sz w:val="24"/>
                <w:szCs w:val="24"/>
              </w:rPr>
              <w:t>Changed by</w:t>
            </w:r>
          </w:p>
        </w:tc>
        <w:tc>
          <w:tcPr>
            <w:tcW w:w="2400" w:type="dxa"/>
            <w:tcBorders>
              <w:top w:val="single" w:sz="8" w:space="0" w:color="FF0000"/>
              <w:left w:val="single" w:sz="8" w:space="0" w:color="FF0000"/>
              <w:bottom w:val="single" w:sz="8" w:space="0" w:color="FF0000"/>
              <w:right w:val="single" w:sz="8" w:space="0" w:color="FF0000"/>
            </w:tcBorders>
            <w:shd w:val="clear" w:color="auto" w:fill="F79646"/>
          </w:tcPr>
          <w:p w14:paraId="1056A1BB" w14:textId="77777777" w:rsidR="00A4680E" w:rsidRPr="003611CA" w:rsidRDefault="00A4680E" w:rsidP="008F189D">
            <w:pPr>
              <w:keepNext/>
              <w:spacing w:before="120" w:after="120" w:line="240" w:lineRule="auto"/>
              <w:jc w:val="center"/>
              <w:rPr>
                <w:b/>
                <w:bCs/>
                <w:color w:val="FFFFFF"/>
                <w:sz w:val="24"/>
                <w:szCs w:val="24"/>
              </w:rPr>
            </w:pPr>
            <w:r>
              <w:rPr>
                <w:b/>
                <w:bCs/>
                <w:color w:val="FFFFFF"/>
                <w:sz w:val="24"/>
                <w:szCs w:val="24"/>
              </w:rPr>
              <w:t>Approved by</w:t>
            </w:r>
          </w:p>
        </w:tc>
        <w:tc>
          <w:tcPr>
            <w:tcW w:w="3193" w:type="dxa"/>
            <w:tcBorders>
              <w:top w:val="single" w:sz="8" w:space="0" w:color="FF0000"/>
              <w:left w:val="single" w:sz="8" w:space="0" w:color="FF0000"/>
              <w:bottom w:val="single" w:sz="8" w:space="0" w:color="FF0000"/>
              <w:right w:val="single" w:sz="8" w:space="0" w:color="FF0000"/>
            </w:tcBorders>
            <w:shd w:val="clear" w:color="auto" w:fill="F79646"/>
          </w:tcPr>
          <w:p w14:paraId="1056A1BC" w14:textId="77777777" w:rsidR="00A4680E" w:rsidRPr="003611CA" w:rsidRDefault="00A4680E" w:rsidP="008F189D">
            <w:pPr>
              <w:keepNext/>
              <w:spacing w:before="120" w:after="120" w:line="240" w:lineRule="auto"/>
              <w:jc w:val="center"/>
              <w:rPr>
                <w:b/>
                <w:bCs/>
                <w:color w:val="FFFFFF"/>
                <w:sz w:val="24"/>
                <w:szCs w:val="24"/>
              </w:rPr>
            </w:pPr>
            <w:r>
              <w:rPr>
                <w:b/>
                <w:bCs/>
                <w:color w:val="FFFFFF"/>
                <w:sz w:val="24"/>
                <w:szCs w:val="24"/>
              </w:rPr>
              <w:t>Comments</w:t>
            </w:r>
          </w:p>
        </w:tc>
      </w:tr>
      <w:tr w:rsidR="00774E78" w:rsidRPr="003611CA" w14:paraId="1056A1C3" w14:textId="77777777" w:rsidTr="004E70D6">
        <w:trPr>
          <w:cantSplit/>
        </w:trPr>
        <w:tc>
          <w:tcPr>
            <w:tcW w:w="1270" w:type="dxa"/>
            <w:tcBorders>
              <w:top w:val="single" w:sz="8" w:space="0" w:color="FF0000"/>
              <w:left w:val="single" w:sz="8" w:space="0" w:color="FF0000"/>
              <w:bottom w:val="single" w:sz="8" w:space="0" w:color="FF0000"/>
              <w:right w:val="single" w:sz="8" w:space="0" w:color="FF0000"/>
            </w:tcBorders>
            <w:shd w:val="clear" w:color="auto" w:fill="FBD4B4"/>
          </w:tcPr>
          <w:p w14:paraId="1056A1BE" w14:textId="77777777" w:rsidR="00774E78" w:rsidRDefault="00EF376A" w:rsidP="00B33D21">
            <w:pPr>
              <w:spacing w:before="60" w:after="60" w:line="240" w:lineRule="auto"/>
              <w:jc w:val="both"/>
              <w:rPr>
                <w:b/>
                <w:bCs/>
              </w:rPr>
            </w:pPr>
            <w:r>
              <w:rPr>
                <w:b/>
                <w:bCs/>
              </w:rPr>
              <w:t>1.0</w:t>
            </w:r>
          </w:p>
        </w:tc>
        <w:tc>
          <w:tcPr>
            <w:tcW w:w="1430" w:type="dxa"/>
            <w:tcBorders>
              <w:top w:val="single" w:sz="8" w:space="0" w:color="FF0000"/>
              <w:left w:val="single" w:sz="8" w:space="0" w:color="FF0000"/>
              <w:bottom w:val="single" w:sz="8" w:space="0" w:color="FF0000"/>
              <w:right w:val="single" w:sz="8" w:space="0" w:color="FF0000"/>
            </w:tcBorders>
            <w:shd w:val="clear" w:color="auto" w:fill="auto"/>
          </w:tcPr>
          <w:p w14:paraId="1056A1BF" w14:textId="77777777" w:rsidR="00774E78" w:rsidRDefault="00EF376A" w:rsidP="00DE6742">
            <w:pPr>
              <w:spacing w:before="60" w:after="60"/>
              <w:jc w:val="both"/>
            </w:pPr>
            <w:r>
              <w:t>12</w:t>
            </w:r>
            <w:r w:rsidR="00774E78">
              <w:t xml:space="preserve"> Mar 2014</w:t>
            </w:r>
          </w:p>
        </w:tc>
        <w:tc>
          <w:tcPr>
            <w:tcW w:w="1911" w:type="dxa"/>
            <w:tcBorders>
              <w:top w:val="single" w:sz="8" w:space="0" w:color="FF0000"/>
              <w:left w:val="single" w:sz="8" w:space="0" w:color="FF0000"/>
              <w:bottom w:val="single" w:sz="8" w:space="0" w:color="FF0000"/>
              <w:right w:val="single" w:sz="8" w:space="0" w:color="FF0000"/>
            </w:tcBorders>
            <w:shd w:val="clear" w:color="auto" w:fill="auto"/>
          </w:tcPr>
          <w:p w14:paraId="1056A1C0" w14:textId="77777777" w:rsidR="00774E78" w:rsidRDefault="00EF376A" w:rsidP="00B33D21">
            <w:pPr>
              <w:spacing w:before="60" w:after="60"/>
              <w:jc w:val="both"/>
            </w:pPr>
            <w:r>
              <w:t>Ownership Group</w:t>
            </w:r>
          </w:p>
        </w:tc>
        <w:tc>
          <w:tcPr>
            <w:tcW w:w="2400" w:type="dxa"/>
            <w:tcBorders>
              <w:top w:val="single" w:sz="8" w:space="0" w:color="FF0000"/>
              <w:left w:val="single" w:sz="8" w:space="0" w:color="FF0000"/>
              <w:bottom w:val="single" w:sz="8" w:space="0" w:color="FF0000"/>
              <w:right w:val="single" w:sz="8" w:space="0" w:color="FF0000"/>
            </w:tcBorders>
            <w:shd w:val="clear" w:color="auto" w:fill="auto"/>
          </w:tcPr>
          <w:p w14:paraId="1056A1C1" w14:textId="77777777" w:rsidR="00774E78" w:rsidRDefault="00EF376A" w:rsidP="00B33D21">
            <w:pPr>
              <w:spacing w:before="60" w:after="60"/>
              <w:jc w:val="both"/>
            </w:pPr>
            <w:r>
              <w:t>Ownership Group</w:t>
            </w:r>
          </w:p>
        </w:tc>
        <w:tc>
          <w:tcPr>
            <w:tcW w:w="3193" w:type="dxa"/>
            <w:tcBorders>
              <w:top w:val="single" w:sz="8" w:space="0" w:color="FF0000"/>
              <w:left w:val="single" w:sz="8" w:space="0" w:color="FF0000"/>
              <w:bottom w:val="single" w:sz="8" w:space="0" w:color="FF0000"/>
              <w:right w:val="single" w:sz="8" w:space="0" w:color="FF0000"/>
            </w:tcBorders>
            <w:shd w:val="clear" w:color="auto" w:fill="auto"/>
          </w:tcPr>
          <w:p w14:paraId="1056A1C2" w14:textId="77777777" w:rsidR="00774E78" w:rsidRDefault="00EF376A" w:rsidP="004856AC">
            <w:pPr>
              <w:spacing w:before="60" w:after="60"/>
            </w:pPr>
            <w:r>
              <w:t>Initial version</w:t>
            </w:r>
          </w:p>
        </w:tc>
      </w:tr>
      <w:tr w:rsidR="007604E2" w:rsidRPr="003611CA" w14:paraId="1056A1D0" w14:textId="77777777" w:rsidTr="004E70D6">
        <w:trPr>
          <w:cantSplit/>
        </w:trPr>
        <w:tc>
          <w:tcPr>
            <w:tcW w:w="1270" w:type="dxa"/>
            <w:tcBorders>
              <w:top w:val="single" w:sz="8" w:space="0" w:color="FF0000"/>
              <w:left w:val="single" w:sz="8" w:space="0" w:color="FF0000"/>
              <w:bottom w:val="single" w:sz="8" w:space="0" w:color="FF0000"/>
              <w:right w:val="single" w:sz="8" w:space="0" w:color="FF0000"/>
            </w:tcBorders>
            <w:shd w:val="clear" w:color="auto" w:fill="FBD4B4"/>
          </w:tcPr>
          <w:p w14:paraId="1056A1CB" w14:textId="4E1EEC24" w:rsidR="007604E2" w:rsidRDefault="00D746D0" w:rsidP="00D746D0">
            <w:pPr>
              <w:spacing w:before="60" w:after="60" w:line="240" w:lineRule="auto"/>
              <w:jc w:val="both"/>
              <w:rPr>
                <w:b/>
                <w:bCs/>
              </w:rPr>
            </w:pPr>
            <w:r>
              <w:rPr>
                <w:b/>
                <w:bCs/>
              </w:rPr>
              <w:t>1.1</w:t>
            </w:r>
          </w:p>
        </w:tc>
        <w:tc>
          <w:tcPr>
            <w:tcW w:w="1430" w:type="dxa"/>
            <w:tcBorders>
              <w:top w:val="single" w:sz="8" w:space="0" w:color="FF0000"/>
              <w:left w:val="single" w:sz="8" w:space="0" w:color="FF0000"/>
              <w:bottom w:val="single" w:sz="8" w:space="0" w:color="FF0000"/>
              <w:right w:val="single" w:sz="8" w:space="0" w:color="FF0000"/>
            </w:tcBorders>
            <w:shd w:val="clear" w:color="auto" w:fill="auto"/>
          </w:tcPr>
          <w:p w14:paraId="1056A1CC" w14:textId="77777777" w:rsidR="007604E2" w:rsidRDefault="007604E2" w:rsidP="00DE6742">
            <w:pPr>
              <w:spacing w:before="60" w:after="60"/>
              <w:jc w:val="both"/>
            </w:pPr>
            <w:r>
              <w:t>02 Mar 2015</w:t>
            </w:r>
          </w:p>
        </w:tc>
        <w:tc>
          <w:tcPr>
            <w:tcW w:w="1911" w:type="dxa"/>
            <w:tcBorders>
              <w:top w:val="single" w:sz="8" w:space="0" w:color="FF0000"/>
              <w:left w:val="single" w:sz="8" w:space="0" w:color="FF0000"/>
              <w:bottom w:val="single" w:sz="8" w:space="0" w:color="FF0000"/>
              <w:right w:val="single" w:sz="8" w:space="0" w:color="FF0000"/>
            </w:tcBorders>
            <w:shd w:val="clear" w:color="auto" w:fill="auto"/>
          </w:tcPr>
          <w:p w14:paraId="1056A1CD" w14:textId="77777777" w:rsidR="007604E2" w:rsidRDefault="007604E2" w:rsidP="00B33D21">
            <w:pPr>
              <w:spacing w:before="60" w:after="60"/>
              <w:jc w:val="both"/>
            </w:pPr>
            <w:r>
              <w:t>Daniel Suranyi</w:t>
            </w:r>
          </w:p>
        </w:tc>
        <w:tc>
          <w:tcPr>
            <w:tcW w:w="2400" w:type="dxa"/>
            <w:tcBorders>
              <w:top w:val="single" w:sz="8" w:space="0" w:color="FF0000"/>
              <w:left w:val="single" w:sz="8" w:space="0" w:color="FF0000"/>
              <w:bottom w:val="single" w:sz="8" w:space="0" w:color="FF0000"/>
              <w:right w:val="single" w:sz="8" w:space="0" w:color="FF0000"/>
            </w:tcBorders>
            <w:shd w:val="clear" w:color="auto" w:fill="auto"/>
          </w:tcPr>
          <w:p w14:paraId="1056A1CE" w14:textId="77777777" w:rsidR="007604E2" w:rsidRDefault="007604E2" w:rsidP="00B33D21">
            <w:pPr>
              <w:spacing w:before="60" w:after="60"/>
              <w:jc w:val="both"/>
            </w:pPr>
          </w:p>
        </w:tc>
        <w:tc>
          <w:tcPr>
            <w:tcW w:w="3193" w:type="dxa"/>
            <w:tcBorders>
              <w:top w:val="single" w:sz="8" w:space="0" w:color="FF0000"/>
              <w:left w:val="single" w:sz="8" w:space="0" w:color="FF0000"/>
              <w:bottom w:val="single" w:sz="8" w:space="0" w:color="FF0000"/>
              <w:right w:val="single" w:sz="8" w:space="0" w:color="FF0000"/>
            </w:tcBorders>
            <w:shd w:val="clear" w:color="auto" w:fill="auto"/>
          </w:tcPr>
          <w:p w14:paraId="74125965" w14:textId="77777777" w:rsidR="00D746D0" w:rsidRDefault="00D746D0" w:rsidP="00D746D0">
            <w:pPr>
              <w:spacing w:before="60" w:after="60"/>
            </w:pPr>
            <w:r>
              <w:t>Changed versioning,</w:t>
            </w:r>
          </w:p>
          <w:p w14:paraId="1056A1CF" w14:textId="4E184C9F" w:rsidR="007604E2" w:rsidRDefault="00D746D0" w:rsidP="00D746D0">
            <w:pPr>
              <w:spacing w:before="60" w:after="60"/>
            </w:pPr>
            <w:r>
              <w:t>Added SNA93 DSDs</w:t>
            </w:r>
          </w:p>
        </w:tc>
      </w:tr>
      <w:tr w:rsidR="00657A5A" w:rsidRPr="003611CA" w14:paraId="1056A1DC" w14:textId="77777777" w:rsidTr="007604E2">
        <w:trPr>
          <w:cantSplit/>
        </w:trPr>
        <w:tc>
          <w:tcPr>
            <w:tcW w:w="1270" w:type="dxa"/>
            <w:tcBorders>
              <w:top w:val="single" w:sz="8" w:space="0" w:color="FF0000"/>
              <w:left w:val="single" w:sz="8" w:space="0" w:color="FF0000"/>
              <w:bottom w:val="single" w:sz="8" w:space="0" w:color="FF0000"/>
              <w:right w:val="single" w:sz="8" w:space="0" w:color="FF0000"/>
            </w:tcBorders>
            <w:shd w:val="clear" w:color="auto" w:fill="FBD4B4"/>
          </w:tcPr>
          <w:p w14:paraId="1056A1D7" w14:textId="0B93EFAB" w:rsidR="00657A5A" w:rsidRDefault="00D746D0" w:rsidP="00D746D0">
            <w:pPr>
              <w:spacing w:before="60" w:after="60" w:line="240" w:lineRule="auto"/>
              <w:jc w:val="both"/>
              <w:rPr>
                <w:b/>
                <w:bCs/>
              </w:rPr>
            </w:pPr>
            <w:r>
              <w:rPr>
                <w:b/>
                <w:bCs/>
              </w:rPr>
              <w:t>2.0</w:t>
            </w:r>
            <w:bookmarkStart w:id="1" w:name="_GoBack"/>
            <w:bookmarkEnd w:id="1"/>
          </w:p>
        </w:tc>
        <w:tc>
          <w:tcPr>
            <w:tcW w:w="1430" w:type="dxa"/>
            <w:tcBorders>
              <w:top w:val="single" w:sz="8" w:space="0" w:color="FF0000"/>
              <w:left w:val="single" w:sz="8" w:space="0" w:color="FF0000"/>
              <w:bottom w:val="single" w:sz="8" w:space="0" w:color="FF0000"/>
              <w:right w:val="single" w:sz="8" w:space="0" w:color="FF0000"/>
            </w:tcBorders>
            <w:shd w:val="clear" w:color="auto" w:fill="auto"/>
          </w:tcPr>
          <w:p w14:paraId="1056A1D8" w14:textId="77777777" w:rsidR="00657A5A" w:rsidRDefault="00657A5A" w:rsidP="00DE6742">
            <w:pPr>
              <w:spacing w:before="60" w:after="60"/>
              <w:jc w:val="both"/>
            </w:pPr>
            <w:r>
              <w:t>20 Jan 2016</w:t>
            </w:r>
          </w:p>
        </w:tc>
        <w:tc>
          <w:tcPr>
            <w:tcW w:w="1911" w:type="dxa"/>
            <w:tcBorders>
              <w:top w:val="single" w:sz="8" w:space="0" w:color="FF0000"/>
              <w:left w:val="single" w:sz="8" w:space="0" w:color="FF0000"/>
              <w:bottom w:val="single" w:sz="8" w:space="0" w:color="FF0000"/>
              <w:right w:val="single" w:sz="8" w:space="0" w:color="FF0000"/>
            </w:tcBorders>
            <w:shd w:val="clear" w:color="auto" w:fill="auto"/>
          </w:tcPr>
          <w:p w14:paraId="1056A1D9" w14:textId="77777777" w:rsidR="00657A5A" w:rsidRDefault="00657A5A" w:rsidP="00B33D21">
            <w:pPr>
              <w:spacing w:before="60" w:after="60"/>
              <w:jc w:val="both"/>
            </w:pPr>
            <w:r>
              <w:t>Daniel Suranyi</w:t>
            </w:r>
          </w:p>
        </w:tc>
        <w:tc>
          <w:tcPr>
            <w:tcW w:w="2400" w:type="dxa"/>
            <w:tcBorders>
              <w:top w:val="single" w:sz="8" w:space="0" w:color="FF0000"/>
              <w:left w:val="single" w:sz="8" w:space="0" w:color="FF0000"/>
              <w:bottom w:val="single" w:sz="8" w:space="0" w:color="FF0000"/>
              <w:right w:val="single" w:sz="8" w:space="0" w:color="FF0000"/>
            </w:tcBorders>
            <w:shd w:val="clear" w:color="auto" w:fill="auto"/>
          </w:tcPr>
          <w:p w14:paraId="1056A1DA" w14:textId="77777777" w:rsidR="00657A5A" w:rsidRDefault="00657A5A" w:rsidP="00B33D21">
            <w:pPr>
              <w:spacing w:before="60" w:after="60"/>
              <w:jc w:val="both"/>
            </w:pPr>
          </w:p>
        </w:tc>
        <w:tc>
          <w:tcPr>
            <w:tcW w:w="3193" w:type="dxa"/>
            <w:tcBorders>
              <w:top w:val="single" w:sz="8" w:space="0" w:color="FF0000"/>
              <w:left w:val="single" w:sz="8" w:space="0" w:color="FF0000"/>
              <w:bottom w:val="single" w:sz="8" w:space="0" w:color="FF0000"/>
              <w:right w:val="single" w:sz="8" w:space="0" w:color="FF0000"/>
            </w:tcBorders>
            <w:shd w:val="clear" w:color="auto" w:fill="auto"/>
          </w:tcPr>
          <w:p w14:paraId="1056A1DB" w14:textId="1EA7B821" w:rsidR="00657A5A" w:rsidRDefault="00D746D0" w:rsidP="00D746D0">
            <w:pPr>
              <w:spacing w:before="60" w:after="60"/>
            </w:pPr>
            <w:r>
              <w:t>New approach towards a merged maintenance agreement and TOR, based on discussion within the OG</w:t>
            </w:r>
          </w:p>
        </w:tc>
      </w:tr>
      <w:tr w:rsidR="0039237D" w:rsidRPr="003611CA" w14:paraId="1056A1E2" w14:textId="77777777" w:rsidTr="007604E2">
        <w:trPr>
          <w:cantSplit/>
        </w:trPr>
        <w:tc>
          <w:tcPr>
            <w:tcW w:w="1270" w:type="dxa"/>
            <w:tcBorders>
              <w:top w:val="single" w:sz="8" w:space="0" w:color="FF0000"/>
              <w:left w:val="single" w:sz="8" w:space="0" w:color="FF0000"/>
              <w:bottom w:val="single" w:sz="8" w:space="0" w:color="FF0000"/>
              <w:right w:val="single" w:sz="8" w:space="0" w:color="FF0000"/>
            </w:tcBorders>
            <w:shd w:val="clear" w:color="auto" w:fill="FBD4B4"/>
          </w:tcPr>
          <w:p w14:paraId="1056A1DD" w14:textId="77777777" w:rsidR="0039237D" w:rsidRDefault="0039237D" w:rsidP="00B33D21">
            <w:pPr>
              <w:spacing w:before="60" w:after="60" w:line="240" w:lineRule="auto"/>
              <w:jc w:val="both"/>
              <w:rPr>
                <w:b/>
                <w:bCs/>
              </w:rPr>
            </w:pPr>
            <w:r>
              <w:rPr>
                <w:b/>
                <w:bCs/>
              </w:rPr>
              <w:t>3.0</w:t>
            </w:r>
          </w:p>
        </w:tc>
        <w:tc>
          <w:tcPr>
            <w:tcW w:w="1430" w:type="dxa"/>
            <w:tcBorders>
              <w:top w:val="single" w:sz="8" w:space="0" w:color="FF0000"/>
              <w:left w:val="single" w:sz="8" w:space="0" w:color="FF0000"/>
              <w:bottom w:val="single" w:sz="8" w:space="0" w:color="FF0000"/>
              <w:right w:val="single" w:sz="8" w:space="0" w:color="FF0000"/>
            </w:tcBorders>
            <w:shd w:val="clear" w:color="auto" w:fill="auto"/>
          </w:tcPr>
          <w:p w14:paraId="1056A1DE" w14:textId="77777777" w:rsidR="0039237D" w:rsidRDefault="0039237D" w:rsidP="00DE6742">
            <w:pPr>
              <w:spacing w:before="60" w:after="60"/>
              <w:jc w:val="both"/>
            </w:pPr>
            <w:r>
              <w:t>9 Feb 2016</w:t>
            </w:r>
          </w:p>
        </w:tc>
        <w:tc>
          <w:tcPr>
            <w:tcW w:w="1911" w:type="dxa"/>
            <w:tcBorders>
              <w:top w:val="single" w:sz="8" w:space="0" w:color="FF0000"/>
              <w:left w:val="single" w:sz="8" w:space="0" w:color="FF0000"/>
              <w:bottom w:val="single" w:sz="8" w:space="0" w:color="FF0000"/>
              <w:right w:val="single" w:sz="8" w:space="0" w:color="FF0000"/>
            </w:tcBorders>
            <w:shd w:val="clear" w:color="auto" w:fill="auto"/>
          </w:tcPr>
          <w:p w14:paraId="1056A1DF" w14:textId="77777777" w:rsidR="0039237D" w:rsidRDefault="0039237D" w:rsidP="00B33D21">
            <w:pPr>
              <w:spacing w:before="60" w:after="60"/>
              <w:jc w:val="both"/>
            </w:pPr>
            <w:r>
              <w:t>Peter van de Ven</w:t>
            </w:r>
          </w:p>
        </w:tc>
        <w:tc>
          <w:tcPr>
            <w:tcW w:w="2400" w:type="dxa"/>
            <w:tcBorders>
              <w:top w:val="single" w:sz="8" w:space="0" w:color="FF0000"/>
              <w:left w:val="single" w:sz="8" w:space="0" w:color="FF0000"/>
              <w:bottom w:val="single" w:sz="8" w:space="0" w:color="FF0000"/>
              <w:right w:val="single" w:sz="8" w:space="0" w:color="FF0000"/>
            </w:tcBorders>
            <w:shd w:val="clear" w:color="auto" w:fill="auto"/>
          </w:tcPr>
          <w:p w14:paraId="1056A1E0" w14:textId="77777777" w:rsidR="0039237D" w:rsidRDefault="0039237D" w:rsidP="00B33D21">
            <w:pPr>
              <w:spacing w:before="60" w:after="60"/>
              <w:jc w:val="both"/>
            </w:pPr>
            <w:r>
              <w:t>Ownership Group</w:t>
            </w:r>
          </w:p>
        </w:tc>
        <w:tc>
          <w:tcPr>
            <w:tcW w:w="3193" w:type="dxa"/>
            <w:tcBorders>
              <w:top w:val="single" w:sz="8" w:space="0" w:color="FF0000"/>
              <w:left w:val="single" w:sz="8" w:space="0" w:color="FF0000"/>
              <w:bottom w:val="single" w:sz="8" w:space="0" w:color="FF0000"/>
              <w:right w:val="single" w:sz="8" w:space="0" w:color="FF0000"/>
            </w:tcBorders>
            <w:shd w:val="clear" w:color="auto" w:fill="auto"/>
          </w:tcPr>
          <w:p w14:paraId="1056A1E1" w14:textId="77777777" w:rsidR="0039237D" w:rsidRDefault="0039237D" w:rsidP="004856AC">
            <w:pPr>
              <w:spacing w:before="60" w:after="60"/>
            </w:pPr>
            <w:r>
              <w:t>Final version, after taking into account comments received from OG-members</w:t>
            </w:r>
          </w:p>
        </w:tc>
      </w:tr>
    </w:tbl>
    <w:p w14:paraId="1056A1E3" w14:textId="77777777" w:rsidR="0014727D" w:rsidRPr="007D2706" w:rsidRDefault="0014727D" w:rsidP="007D2706">
      <w:pPr>
        <w:pStyle w:val="Heading1"/>
        <w:rPr>
          <w:b w:val="0"/>
          <w:smallCaps/>
          <w:sz w:val="32"/>
          <w:szCs w:val="32"/>
        </w:rPr>
      </w:pPr>
      <w:r w:rsidRPr="007D2706">
        <w:t>References</w:t>
      </w:r>
    </w:p>
    <w:p w14:paraId="1056A1E4" w14:textId="77777777" w:rsidR="0014727D" w:rsidRPr="007D2706" w:rsidRDefault="0014727D" w:rsidP="007D2706">
      <w:pPr>
        <w:pStyle w:val="ListParagraph"/>
        <w:numPr>
          <w:ilvl w:val="0"/>
          <w:numId w:val="3"/>
        </w:numPr>
        <w:spacing w:before="120" w:after="120" w:line="240" w:lineRule="auto"/>
      </w:pPr>
      <w:r w:rsidRPr="007D2706">
        <w:t>Governance of Commonly used SDMX metadata artefa</w:t>
      </w:r>
      <w:r w:rsidR="000B07A7" w:rsidRPr="007D2706">
        <w:t>cts</w:t>
      </w:r>
      <w:r w:rsidR="00FC17C6" w:rsidRPr="007D2706">
        <w:t>:</w:t>
      </w:r>
      <w:r w:rsidR="007D2706" w:rsidRPr="007D2706">
        <w:t xml:space="preserve"> </w:t>
      </w:r>
      <w:hyperlink r:id="rId12" w:history="1">
        <w:r w:rsidR="000B07A7" w:rsidRPr="007D2706">
          <w:rPr>
            <w:rStyle w:val="Hyperlink"/>
          </w:rPr>
          <w:t>http://sdmx.org/wp-content/uploads/2014/03/Governance_of_commonly_used_SDMX_metadata_artefacts_v1.2.doc</w:t>
        </w:r>
      </w:hyperlink>
      <w:r w:rsidR="000B07A7" w:rsidRPr="007D2706">
        <w:t xml:space="preserve"> </w:t>
      </w:r>
    </w:p>
    <w:p w14:paraId="1056A1E5" w14:textId="77777777" w:rsidR="000B07A7" w:rsidRPr="007D2706" w:rsidRDefault="000B07A7" w:rsidP="007D2706">
      <w:pPr>
        <w:pStyle w:val="ListParagraph"/>
        <w:numPr>
          <w:ilvl w:val="0"/>
          <w:numId w:val="3"/>
        </w:numPr>
        <w:spacing w:before="120" w:after="120" w:line="240" w:lineRule="auto"/>
      </w:pPr>
      <w:r w:rsidRPr="007D2706">
        <w:t>Guidelines on the Versioning of SDMX Artefacts</w:t>
      </w:r>
      <w:r w:rsidR="00FC17C6" w:rsidRPr="007D2706">
        <w:t xml:space="preserve">: </w:t>
      </w:r>
      <w:hyperlink r:id="rId13" w:history="1">
        <w:r w:rsidRPr="007D2706">
          <w:rPr>
            <w:rStyle w:val="Hyperlink"/>
          </w:rPr>
          <w:t>https://sdmx.org/wp-content/uploads/Guidelines_on_versioning_v1_0.pdf</w:t>
        </w:r>
      </w:hyperlink>
      <w:r w:rsidRPr="007D2706">
        <w:t xml:space="preserve"> </w:t>
      </w:r>
    </w:p>
    <w:p w14:paraId="1056A1E6" w14:textId="77777777" w:rsidR="000B07A7" w:rsidRPr="007D2706" w:rsidRDefault="008A1042" w:rsidP="007D2706">
      <w:pPr>
        <w:pStyle w:val="ListParagraph"/>
        <w:numPr>
          <w:ilvl w:val="0"/>
          <w:numId w:val="3"/>
        </w:numPr>
        <w:spacing w:before="120" w:after="120" w:line="240" w:lineRule="auto"/>
      </w:pPr>
      <w:r w:rsidRPr="007D2706">
        <w:t>SDMX Content Oriented Guidelines and relevant annexes</w:t>
      </w:r>
      <w:r w:rsidR="00FC17C6" w:rsidRPr="007D2706">
        <w:t>:</w:t>
      </w:r>
      <w:r w:rsidR="007D2706">
        <w:t xml:space="preserve"> </w:t>
      </w:r>
      <w:hyperlink r:id="rId14" w:history="1">
        <w:r w:rsidR="000B07A7" w:rsidRPr="007D2706">
          <w:rPr>
            <w:rStyle w:val="Hyperlink"/>
          </w:rPr>
          <w:t>http://sdmx.org/?page_id=4345</w:t>
        </w:r>
      </w:hyperlink>
      <w:r w:rsidR="000B07A7" w:rsidRPr="007D2706">
        <w:t xml:space="preserve"> </w:t>
      </w:r>
    </w:p>
    <w:sectPr w:rsidR="000B07A7" w:rsidRPr="007D2706" w:rsidSect="000613C9">
      <w:footerReference w:type="default" r:id="rId15"/>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D2EF93" w14:textId="77777777" w:rsidR="0010202A" w:rsidRDefault="0010202A" w:rsidP="006E1528">
      <w:pPr>
        <w:spacing w:after="0" w:line="240" w:lineRule="auto"/>
      </w:pPr>
      <w:r>
        <w:separator/>
      </w:r>
    </w:p>
  </w:endnote>
  <w:endnote w:type="continuationSeparator" w:id="0">
    <w:p w14:paraId="1109D44D" w14:textId="77777777" w:rsidR="0010202A" w:rsidRDefault="0010202A" w:rsidP="006E1528">
      <w:pPr>
        <w:spacing w:after="0" w:line="240" w:lineRule="auto"/>
      </w:pPr>
      <w:r>
        <w:continuationSeparator/>
      </w:r>
    </w:p>
  </w:endnote>
  <w:endnote w:type="continuationNotice" w:id="1">
    <w:p w14:paraId="5DED1FA4" w14:textId="77777777" w:rsidR="0010202A" w:rsidRDefault="001020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Roman Bold">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56A1EF" w14:textId="33D08EFF" w:rsidR="00F23B2A" w:rsidRDefault="00F23B2A" w:rsidP="005F09C3">
    <w:pPr>
      <w:pStyle w:val="Footer"/>
      <w:jc w:val="right"/>
    </w:pPr>
    <w:r>
      <w:rPr>
        <w:color w:val="808080" w:themeColor="background1" w:themeShade="80"/>
        <w:spacing w:val="60"/>
      </w:rPr>
      <w:t>Page</w:t>
    </w:r>
    <w:r>
      <w:t xml:space="preserve"> | </w:t>
    </w:r>
    <w:r>
      <w:fldChar w:fldCharType="begin"/>
    </w:r>
    <w:r>
      <w:instrText xml:space="preserve"> PAGE   \* MERGEFORMAT </w:instrText>
    </w:r>
    <w:r>
      <w:fldChar w:fldCharType="separate"/>
    </w:r>
    <w:r w:rsidR="00921E92" w:rsidRPr="00921E92">
      <w:rPr>
        <w:b/>
        <w:bCs/>
        <w:noProof/>
      </w:rPr>
      <w:t>8</w:t>
    </w:r>
    <w:r>
      <w:rPr>
        <w:b/>
        <w:bCs/>
        <w:noProof/>
      </w:rPr>
      <w:fldChar w:fldCharType="end"/>
    </w:r>
    <w:r>
      <w:rPr>
        <w:b/>
        <w:bCs/>
        <w:noProof/>
      </w:rPr>
      <w:t xml:space="preserve"> of </w:t>
    </w:r>
    <w:r>
      <w:rPr>
        <w:b/>
        <w:bCs/>
        <w:noProof/>
      </w:rPr>
      <w:fldChar w:fldCharType="begin"/>
    </w:r>
    <w:r>
      <w:rPr>
        <w:b/>
        <w:bCs/>
        <w:noProof/>
      </w:rPr>
      <w:instrText xml:space="preserve"> NUMPAGES   \* MERGEFORMAT </w:instrText>
    </w:r>
    <w:r>
      <w:rPr>
        <w:b/>
        <w:bCs/>
        <w:noProof/>
      </w:rPr>
      <w:fldChar w:fldCharType="separate"/>
    </w:r>
    <w:r w:rsidR="00921E92">
      <w:rPr>
        <w:b/>
        <w:bCs/>
        <w:noProof/>
      </w:rPr>
      <w:t>8</w:t>
    </w:r>
    <w:r>
      <w:rPr>
        <w:b/>
        <w:bC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2132F7" w14:textId="77777777" w:rsidR="0010202A" w:rsidRDefault="0010202A" w:rsidP="006E1528">
      <w:pPr>
        <w:spacing w:after="0" w:line="240" w:lineRule="auto"/>
      </w:pPr>
      <w:r>
        <w:separator/>
      </w:r>
    </w:p>
  </w:footnote>
  <w:footnote w:type="continuationSeparator" w:id="0">
    <w:p w14:paraId="474D91A1" w14:textId="77777777" w:rsidR="0010202A" w:rsidRDefault="0010202A" w:rsidP="006E1528">
      <w:pPr>
        <w:spacing w:after="0" w:line="240" w:lineRule="auto"/>
      </w:pPr>
      <w:r>
        <w:continuationSeparator/>
      </w:r>
    </w:p>
  </w:footnote>
  <w:footnote w:type="continuationNotice" w:id="1">
    <w:p w14:paraId="60E63239" w14:textId="77777777" w:rsidR="0010202A" w:rsidRDefault="0010202A">
      <w:pPr>
        <w:spacing w:after="0" w:line="240" w:lineRule="auto"/>
      </w:pPr>
    </w:p>
  </w:footnote>
  <w:footnote w:id="2">
    <w:p w14:paraId="1056A1F0" w14:textId="77777777" w:rsidR="00F23B2A" w:rsidRDefault="00F23B2A" w:rsidP="005F09C3">
      <w:pPr>
        <w:pStyle w:val="FootnoteText"/>
      </w:pPr>
      <w:r>
        <w:rPr>
          <w:rStyle w:val="FootnoteReference"/>
        </w:rPr>
        <w:footnoteRef/>
      </w:r>
      <w:r>
        <w:t xml:space="preserve"> </w:t>
      </w:r>
      <w:r w:rsidRPr="008D4BD3">
        <w:t>Sta</w:t>
      </w:r>
      <w:r w:rsidR="004907CB">
        <w:t>tistical</w:t>
      </w:r>
      <w:r w:rsidRPr="008D4BD3">
        <w:t xml:space="preserve"> Data and Metadata eXchange</w:t>
      </w:r>
      <w:r>
        <w:t xml:space="preserve">, </w:t>
      </w:r>
      <w:hyperlink r:id="rId1" w:history="1">
        <w:r w:rsidRPr="007A4D35">
          <w:rPr>
            <w:rStyle w:val="Hyperlink"/>
          </w:rPr>
          <w:t>www.sdmx.org</w:t>
        </w:r>
      </w:hyperlink>
      <w:r>
        <w:t xml:space="preserve"> </w:t>
      </w:r>
    </w:p>
  </w:footnote>
  <w:footnote w:id="3">
    <w:p w14:paraId="1056A1F1" w14:textId="77777777" w:rsidR="00F23B2A" w:rsidRPr="009C6717" w:rsidRDefault="00F23B2A" w:rsidP="00D167CE">
      <w:pPr>
        <w:pStyle w:val="FootnoteText"/>
      </w:pPr>
      <w:r>
        <w:rPr>
          <w:rStyle w:val="FootnoteReference"/>
        </w:rPr>
        <w:footnoteRef/>
      </w:r>
      <w:r>
        <w:t xml:space="preserve"> IMF: Committee on Balance of Payments Statistics</w:t>
      </w:r>
      <w:r w:rsidR="002C63C0">
        <w:t xml:space="preserve"> </w:t>
      </w:r>
      <w:r>
        <w:t>(</w:t>
      </w:r>
      <w:hyperlink r:id="rId2" w:history="1">
        <w:r w:rsidRPr="005E359C">
          <w:rPr>
            <w:rStyle w:val="Hyperlink"/>
          </w:rPr>
          <w:t>http://www.imf.org/external/bopage/bopindex.htm</w:t>
        </w:r>
      </w:hyperlink>
      <w:r>
        <w:t>)</w:t>
      </w:r>
    </w:p>
  </w:footnote>
  <w:footnote w:id="4">
    <w:p w14:paraId="1056A1F2" w14:textId="77777777" w:rsidR="00F23B2A" w:rsidRPr="009C6717" w:rsidRDefault="00F23B2A" w:rsidP="00D167CE">
      <w:pPr>
        <w:pStyle w:val="FootnoteText"/>
      </w:pPr>
      <w:r>
        <w:rPr>
          <w:rStyle w:val="FootnoteReference"/>
        </w:rPr>
        <w:footnoteRef/>
      </w:r>
      <w:r>
        <w:t xml:space="preserve"> OECD: </w:t>
      </w:r>
      <w:r w:rsidRPr="00D65A3C">
        <w:t>Working Group on International Investment Statistics</w:t>
      </w:r>
      <w:r w:rsidR="002C63C0">
        <w:t xml:space="preserve"> </w:t>
      </w:r>
      <w:r>
        <w:t>(</w:t>
      </w:r>
      <w:hyperlink r:id="rId3" w:history="1">
        <w:r w:rsidRPr="005E359C">
          <w:rPr>
            <w:rStyle w:val="Hyperlink"/>
          </w:rPr>
          <w:t>http://webnet.oecd.org/OECDGROUPS/Bodies/ShowBodyView.aspx?BodyID=7250</w:t>
        </w:r>
      </w:hyperlink>
      <w:r>
        <w:t>)</w:t>
      </w:r>
    </w:p>
  </w:footnote>
  <w:footnote w:id="5">
    <w:p w14:paraId="1056A1F3" w14:textId="77777777" w:rsidR="00F23B2A" w:rsidRPr="009C6717" w:rsidRDefault="00F23B2A" w:rsidP="00D167CE">
      <w:pPr>
        <w:pStyle w:val="FootnoteText"/>
      </w:pPr>
      <w:r>
        <w:rPr>
          <w:rStyle w:val="FootnoteReference"/>
        </w:rPr>
        <w:footnoteRef/>
      </w:r>
      <w:r>
        <w:t xml:space="preserve"> UNSD: </w:t>
      </w:r>
      <w:r w:rsidRPr="009C6717">
        <w:t>Intersecretariat Working Group on National Accounts</w:t>
      </w:r>
      <w:r w:rsidR="002C63C0">
        <w:t xml:space="preserve"> </w:t>
      </w:r>
      <w:r>
        <w:t>(</w:t>
      </w:r>
      <w:hyperlink r:id="rId4" w:history="1">
        <w:r w:rsidRPr="005E359C">
          <w:rPr>
            <w:rStyle w:val="Hyperlink"/>
          </w:rPr>
          <w:t>http://unstats.un.org/unsd/nationalaccount/iswgna.asp</w:t>
        </w:r>
      </w:hyperlink>
      <w:r>
        <w:t>)</w:t>
      </w:r>
    </w:p>
  </w:footnote>
  <w:footnote w:id="6">
    <w:p w14:paraId="1056A1F4" w14:textId="77777777" w:rsidR="00F23B2A" w:rsidRDefault="00F23B2A" w:rsidP="00D167CE">
      <w:pPr>
        <w:pStyle w:val="FootnoteText"/>
      </w:pPr>
      <w:r w:rsidRPr="00FB714B">
        <w:rPr>
          <w:rStyle w:val="FootnoteReference"/>
        </w:rPr>
        <w:footnoteRef/>
      </w:r>
      <w:r w:rsidR="00FB714B">
        <w:t xml:space="preserve"> ILO: </w:t>
      </w:r>
      <w:r w:rsidR="00FB714B" w:rsidRPr="00FB714B">
        <w:t>Intersecretariat Working Group on Price Statistics</w:t>
      </w:r>
      <w:r w:rsidR="002C63C0">
        <w:t xml:space="preserve"> </w:t>
      </w:r>
      <w:r w:rsidR="00FB714B">
        <w:t>(</w:t>
      </w:r>
      <w:hyperlink r:id="rId5" w:history="1">
        <w:r w:rsidR="00FB714B" w:rsidRPr="00FB714B">
          <w:rPr>
            <w:rStyle w:val="Hyperlink"/>
          </w:rPr>
          <w:t>http://www.ilo.org/public/english/bureau/stat/guides/cpi/</w:t>
        </w:r>
      </w:hyperlink>
      <w:r w:rsidR="00FB714B">
        <w:t>)</w:t>
      </w:r>
    </w:p>
  </w:footnote>
  <w:footnote w:id="7">
    <w:p w14:paraId="1056A1F5" w14:textId="77777777" w:rsidR="00F23B2A" w:rsidRPr="000B788F" w:rsidRDefault="00F23B2A" w:rsidP="008C7C97">
      <w:pPr>
        <w:pStyle w:val="FootnoteText"/>
      </w:pPr>
      <w:r>
        <w:rPr>
          <w:rStyle w:val="FootnoteReference"/>
        </w:rPr>
        <w:footnoteRef/>
      </w:r>
      <w:r>
        <w:t xml:space="preserve"> </w:t>
      </w:r>
      <w:hyperlink r:id="rId6" w:history="1">
        <w:r w:rsidRPr="000B788F">
          <w:rPr>
            <w:rStyle w:val="Hyperlink"/>
          </w:rPr>
          <w:t>https://registry.sdmx.org</w:t>
        </w:r>
      </w:hyperlink>
      <w:r w:rsidRPr="000B788F">
        <w:t xml:space="preserve"> </w:t>
      </w:r>
    </w:p>
  </w:footnote>
  <w:footnote w:id="8">
    <w:p w14:paraId="1056A1F6" w14:textId="77777777" w:rsidR="00F23B2A" w:rsidRDefault="00F23B2A">
      <w:pPr>
        <w:pStyle w:val="FootnoteText"/>
      </w:pPr>
      <w:r>
        <w:rPr>
          <w:rStyle w:val="FootnoteReference"/>
        </w:rPr>
        <w:footnoteRef/>
      </w:r>
      <w:r>
        <w:t xml:space="preserve"> </w:t>
      </w:r>
      <w:r w:rsidR="00C52AF2">
        <w:t>O</w:t>
      </w:r>
      <w:r>
        <w:t>nly versions 1.5 and newer, since SDMX versioning guidelines were not available before that</w:t>
      </w:r>
      <w:r w:rsidR="00C52AF2">
        <w:t>.</w:t>
      </w:r>
    </w:p>
  </w:footnote>
  <w:footnote w:id="9">
    <w:p w14:paraId="1056A1F7" w14:textId="77777777" w:rsidR="00C52AF2" w:rsidRDefault="00C52AF2" w:rsidP="00FC17C6">
      <w:pPr>
        <w:pStyle w:val="CommentText"/>
        <w:spacing w:after="0"/>
        <w:jc w:val="both"/>
      </w:pPr>
      <w:r>
        <w:rPr>
          <w:rStyle w:val="FootnoteReference"/>
        </w:rPr>
        <w:footnoteRef/>
      </w:r>
      <w:r>
        <w:t xml:space="preserve"> In actual practice, lead times </w:t>
      </w:r>
      <w:r w:rsidR="00FC17C6">
        <w:t xml:space="preserve">often </w:t>
      </w:r>
      <w:r>
        <w:t xml:space="preserve">showed to be shorter and </w:t>
      </w:r>
      <w:r w:rsidR="00FC17C6">
        <w:t>reporting was l</w:t>
      </w:r>
      <w:r>
        <w:t>ess pro-active</w:t>
      </w:r>
      <w:r w:rsidR="00FC17C6">
        <w:t xml:space="preserve">, </w:t>
      </w:r>
      <w:r>
        <w:t xml:space="preserve">change requests </w:t>
      </w:r>
      <w:r w:rsidR="00FC17C6">
        <w:t>often coming in a few</w:t>
      </w:r>
      <w:r>
        <w:t xml:space="preserve"> weeks before the release instead of the year before. </w:t>
      </w:r>
      <w:r w:rsidR="00FC17C6">
        <w:t xml:space="preserve">In these cases, the Ownership Group has the mandate upon deciding whether or not the relevant change request can be accommodated. </w:t>
      </w:r>
    </w:p>
  </w:footnote>
  <w:footnote w:id="10">
    <w:p w14:paraId="1056A1F8" w14:textId="77777777" w:rsidR="00F23B2A" w:rsidRPr="004B1932" w:rsidRDefault="00F23B2A" w:rsidP="00FC17C6">
      <w:pPr>
        <w:pStyle w:val="FootnoteText"/>
        <w:jc w:val="both"/>
      </w:pPr>
      <w:r>
        <w:rPr>
          <w:rStyle w:val="FootnoteReference"/>
        </w:rPr>
        <w:footnoteRef/>
      </w:r>
      <w:r>
        <w:t xml:space="preserve"> </w:t>
      </w:r>
      <w:r w:rsidRPr="004B1932">
        <w:t>MA = maintenance agency; OG = ownership group</w:t>
      </w:r>
      <w:r w:rsidR="00530A95">
        <w:t>; Anybody = any user of the DSDs under the responsibility of the OG</w:t>
      </w:r>
      <w:r w:rsidR="00FC17C6">
        <w:t>.</w:t>
      </w:r>
    </w:p>
  </w:footnote>
  <w:footnote w:id="11">
    <w:p w14:paraId="1056A1F9" w14:textId="77777777" w:rsidR="00F23B2A" w:rsidRPr="005F09C3" w:rsidRDefault="00F23B2A" w:rsidP="00FC17C6">
      <w:pPr>
        <w:pStyle w:val="FootnoteText"/>
        <w:jc w:val="both"/>
      </w:pPr>
      <w:r>
        <w:rPr>
          <w:rStyle w:val="FootnoteReference"/>
        </w:rPr>
        <w:footnoteRef/>
      </w:r>
      <w:r>
        <w:t xml:space="preserve"> Respective constituencies can decide on their own planning. In many cases data flows within one constituency will not affect data flows of other constituencies. This allows for implementation planning by data flow</w:t>
      </w:r>
      <w:r w:rsidR="00FC17C6">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F6069C2"/>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A912893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8347424"/>
    <w:multiLevelType w:val="hybridMultilevel"/>
    <w:tmpl w:val="440E39E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BF60DF"/>
    <w:multiLevelType w:val="hybridMultilevel"/>
    <w:tmpl w:val="BEEAC9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646F2E"/>
    <w:multiLevelType w:val="hybridMultilevel"/>
    <w:tmpl w:val="7DEC6A9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1AE0E72"/>
    <w:multiLevelType w:val="hybridMultilevel"/>
    <w:tmpl w:val="377CFC2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9570736"/>
    <w:multiLevelType w:val="hybridMultilevel"/>
    <w:tmpl w:val="BAC6F0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CAF3D9D"/>
    <w:multiLevelType w:val="hybridMultilevel"/>
    <w:tmpl w:val="FC76F3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1004CEA"/>
    <w:multiLevelType w:val="hybridMultilevel"/>
    <w:tmpl w:val="E716D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78F77CB"/>
    <w:multiLevelType w:val="hybridMultilevel"/>
    <w:tmpl w:val="86DE9D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D0620F"/>
    <w:multiLevelType w:val="hybridMultilevel"/>
    <w:tmpl w:val="2C76F7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5"/>
  </w:num>
  <w:num w:numId="3">
    <w:abstractNumId w:val="6"/>
  </w:num>
  <w:num w:numId="4">
    <w:abstractNumId w:val="3"/>
  </w:num>
  <w:num w:numId="5">
    <w:abstractNumId w:val="9"/>
  </w:num>
  <w:num w:numId="6">
    <w:abstractNumId w:val="10"/>
  </w:num>
  <w:num w:numId="7">
    <w:abstractNumId w:val="4"/>
  </w:num>
  <w:num w:numId="8">
    <w:abstractNumId w:val="2"/>
  </w:num>
  <w:num w:numId="9">
    <w:abstractNumId w:val="1"/>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DisplayPageBoundarie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0E122A"/>
    <w:rsid w:val="00013782"/>
    <w:rsid w:val="000324B7"/>
    <w:rsid w:val="000377A9"/>
    <w:rsid w:val="0004794E"/>
    <w:rsid w:val="0005267A"/>
    <w:rsid w:val="000613C9"/>
    <w:rsid w:val="000709C3"/>
    <w:rsid w:val="000832BD"/>
    <w:rsid w:val="000918B5"/>
    <w:rsid w:val="000925CA"/>
    <w:rsid w:val="00093E54"/>
    <w:rsid w:val="00097D2C"/>
    <w:rsid w:val="00097F15"/>
    <w:rsid w:val="000A1E6D"/>
    <w:rsid w:val="000B07A7"/>
    <w:rsid w:val="000B0AF1"/>
    <w:rsid w:val="000B788F"/>
    <w:rsid w:val="000D338B"/>
    <w:rsid w:val="000D4B1C"/>
    <w:rsid w:val="000E122A"/>
    <w:rsid w:val="0010202A"/>
    <w:rsid w:val="00110923"/>
    <w:rsid w:val="00124769"/>
    <w:rsid w:val="00132BF7"/>
    <w:rsid w:val="00133601"/>
    <w:rsid w:val="0013386A"/>
    <w:rsid w:val="00140717"/>
    <w:rsid w:val="00146088"/>
    <w:rsid w:val="0014727D"/>
    <w:rsid w:val="00152707"/>
    <w:rsid w:val="00156168"/>
    <w:rsid w:val="001612DD"/>
    <w:rsid w:val="00162AE0"/>
    <w:rsid w:val="00172A79"/>
    <w:rsid w:val="00180C0B"/>
    <w:rsid w:val="00181934"/>
    <w:rsid w:val="0018734A"/>
    <w:rsid w:val="001914F1"/>
    <w:rsid w:val="00192E47"/>
    <w:rsid w:val="001B421F"/>
    <w:rsid w:val="001B702D"/>
    <w:rsid w:val="001C2E2D"/>
    <w:rsid w:val="001C604E"/>
    <w:rsid w:val="001D1030"/>
    <w:rsid w:val="001D11F5"/>
    <w:rsid w:val="001D611A"/>
    <w:rsid w:val="001D6B46"/>
    <w:rsid w:val="001D7D33"/>
    <w:rsid w:val="001E391F"/>
    <w:rsid w:val="001E573D"/>
    <w:rsid w:val="001E7BED"/>
    <w:rsid w:val="00202D24"/>
    <w:rsid w:val="002035F2"/>
    <w:rsid w:val="00205347"/>
    <w:rsid w:val="00205AD4"/>
    <w:rsid w:val="002166AB"/>
    <w:rsid w:val="00237FB7"/>
    <w:rsid w:val="002401ED"/>
    <w:rsid w:val="00261BC5"/>
    <w:rsid w:val="002636EC"/>
    <w:rsid w:val="00264469"/>
    <w:rsid w:val="0026733D"/>
    <w:rsid w:val="00267FAD"/>
    <w:rsid w:val="00280396"/>
    <w:rsid w:val="00296B34"/>
    <w:rsid w:val="002A0E84"/>
    <w:rsid w:val="002A4F8A"/>
    <w:rsid w:val="002B0728"/>
    <w:rsid w:val="002B136D"/>
    <w:rsid w:val="002B7448"/>
    <w:rsid w:val="002C0130"/>
    <w:rsid w:val="002C59E0"/>
    <w:rsid w:val="002C63C0"/>
    <w:rsid w:val="002C73A4"/>
    <w:rsid w:val="002D1295"/>
    <w:rsid w:val="002D2F87"/>
    <w:rsid w:val="0030244F"/>
    <w:rsid w:val="00312303"/>
    <w:rsid w:val="003166AF"/>
    <w:rsid w:val="003217B5"/>
    <w:rsid w:val="00332520"/>
    <w:rsid w:val="00342518"/>
    <w:rsid w:val="00343E29"/>
    <w:rsid w:val="00346349"/>
    <w:rsid w:val="00347302"/>
    <w:rsid w:val="00347489"/>
    <w:rsid w:val="003510A9"/>
    <w:rsid w:val="0035117D"/>
    <w:rsid w:val="003611CA"/>
    <w:rsid w:val="003615FA"/>
    <w:rsid w:val="00377A4D"/>
    <w:rsid w:val="00383EBE"/>
    <w:rsid w:val="0039237D"/>
    <w:rsid w:val="003C7C14"/>
    <w:rsid w:val="003E003B"/>
    <w:rsid w:val="003E04D2"/>
    <w:rsid w:val="003E3BB4"/>
    <w:rsid w:val="003E553F"/>
    <w:rsid w:val="003E76E5"/>
    <w:rsid w:val="00425089"/>
    <w:rsid w:val="00437561"/>
    <w:rsid w:val="00460252"/>
    <w:rsid w:val="004635DC"/>
    <w:rsid w:val="00465053"/>
    <w:rsid w:val="00474240"/>
    <w:rsid w:val="00482980"/>
    <w:rsid w:val="004856AC"/>
    <w:rsid w:val="00485CAF"/>
    <w:rsid w:val="004868A8"/>
    <w:rsid w:val="004907CB"/>
    <w:rsid w:val="00491045"/>
    <w:rsid w:val="004A42E5"/>
    <w:rsid w:val="004A466E"/>
    <w:rsid w:val="004B07FF"/>
    <w:rsid w:val="004B0E44"/>
    <w:rsid w:val="004B1932"/>
    <w:rsid w:val="004C3E63"/>
    <w:rsid w:val="004E28C7"/>
    <w:rsid w:val="004E70D6"/>
    <w:rsid w:val="004F19FF"/>
    <w:rsid w:val="004F2B89"/>
    <w:rsid w:val="00502CB1"/>
    <w:rsid w:val="0052690A"/>
    <w:rsid w:val="00530A95"/>
    <w:rsid w:val="00564AE0"/>
    <w:rsid w:val="00591DA1"/>
    <w:rsid w:val="005A3452"/>
    <w:rsid w:val="005A4FDE"/>
    <w:rsid w:val="005B2CF0"/>
    <w:rsid w:val="005D18F5"/>
    <w:rsid w:val="005D2DE2"/>
    <w:rsid w:val="005F09C3"/>
    <w:rsid w:val="005F58CD"/>
    <w:rsid w:val="00616EDA"/>
    <w:rsid w:val="00644E60"/>
    <w:rsid w:val="00651AB2"/>
    <w:rsid w:val="00657A5A"/>
    <w:rsid w:val="006717A3"/>
    <w:rsid w:val="006752D5"/>
    <w:rsid w:val="00680F07"/>
    <w:rsid w:val="0068344C"/>
    <w:rsid w:val="0068387B"/>
    <w:rsid w:val="006932B3"/>
    <w:rsid w:val="006A5D84"/>
    <w:rsid w:val="006B1078"/>
    <w:rsid w:val="006B25E4"/>
    <w:rsid w:val="006B4BC0"/>
    <w:rsid w:val="006C2B90"/>
    <w:rsid w:val="006C71EF"/>
    <w:rsid w:val="006E1528"/>
    <w:rsid w:val="006E2245"/>
    <w:rsid w:val="006E52CA"/>
    <w:rsid w:val="006F05C0"/>
    <w:rsid w:val="007012AF"/>
    <w:rsid w:val="00705ECD"/>
    <w:rsid w:val="00706B02"/>
    <w:rsid w:val="00713329"/>
    <w:rsid w:val="00747334"/>
    <w:rsid w:val="00753431"/>
    <w:rsid w:val="00760111"/>
    <w:rsid w:val="007604E2"/>
    <w:rsid w:val="00760873"/>
    <w:rsid w:val="00762A77"/>
    <w:rsid w:val="00774E78"/>
    <w:rsid w:val="00783570"/>
    <w:rsid w:val="00784C0E"/>
    <w:rsid w:val="0078680E"/>
    <w:rsid w:val="00792DAC"/>
    <w:rsid w:val="007A78E7"/>
    <w:rsid w:val="007D0DF8"/>
    <w:rsid w:val="007D2706"/>
    <w:rsid w:val="007E50CD"/>
    <w:rsid w:val="007F100E"/>
    <w:rsid w:val="007F4548"/>
    <w:rsid w:val="00814447"/>
    <w:rsid w:val="00820BFD"/>
    <w:rsid w:val="00842DE4"/>
    <w:rsid w:val="0084711B"/>
    <w:rsid w:val="0084715C"/>
    <w:rsid w:val="0084783F"/>
    <w:rsid w:val="0085512E"/>
    <w:rsid w:val="00862BBF"/>
    <w:rsid w:val="00864FE7"/>
    <w:rsid w:val="0087090D"/>
    <w:rsid w:val="0089185C"/>
    <w:rsid w:val="008A1042"/>
    <w:rsid w:val="008A4C09"/>
    <w:rsid w:val="008A5578"/>
    <w:rsid w:val="008B172E"/>
    <w:rsid w:val="008B3300"/>
    <w:rsid w:val="008C0807"/>
    <w:rsid w:val="008C0FC4"/>
    <w:rsid w:val="008C7C97"/>
    <w:rsid w:val="008F189D"/>
    <w:rsid w:val="00900A52"/>
    <w:rsid w:val="00906F86"/>
    <w:rsid w:val="0091198C"/>
    <w:rsid w:val="00921E92"/>
    <w:rsid w:val="00941A3B"/>
    <w:rsid w:val="0095584F"/>
    <w:rsid w:val="00964217"/>
    <w:rsid w:val="009645B7"/>
    <w:rsid w:val="009743EF"/>
    <w:rsid w:val="009777FA"/>
    <w:rsid w:val="00984A4A"/>
    <w:rsid w:val="00993739"/>
    <w:rsid w:val="009C08D2"/>
    <w:rsid w:val="009C6717"/>
    <w:rsid w:val="009D47A2"/>
    <w:rsid w:val="009E4E54"/>
    <w:rsid w:val="009E5B8A"/>
    <w:rsid w:val="00A00EFB"/>
    <w:rsid w:val="00A050E3"/>
    <w:rsid w:val="00A1122F"/>
    <w:rsid w:val="00A16CE6"/>
    <w:rsid w:val="00A20673"/>
    <w:rsid w:val="00A241A7"/>
    <w:rsid w:val="00A34EA8"/>
    <w:rsid w:val="00A412C9"/>
    <w:rsid w:val="00A43EEF"/>
    <w:rsid w:val="00A4408C"/>
    <w:rsid w:val="00A4680E"/>
    <w:rsid w:val="00A727C1"/>
    <w:rsid w:val="00A7490F"/>
    <w:rsid w:val="00A90775"/>
    <w:rsid w:val="00AA4A88"/>
    <w:rsid w:val="00AB24F0"/>
    <w:rsid w:val="00AD49FB"/>
    <w:rsid w:val="00AE0E17"/>
    <w:rsid w:val="00AE5F09"/>
    <w:rsid w:val="00AF4A53"/>
    <w:rsid w:val="00B02542"/>
    <w:rsid w:val="00B16FA7"/>
    <w:rsid w:val="00B3089A"/>
    <w:rsid w:val="00B33D21"/>
    <w:rsid w:val="00B33DED"/>
    <w:rsid w:val="00B34CCB"/>
    <w:rsid w:val="00B47C03"/>
    <w:rsid w:val="00B52247"/>
    <w:rsid w:val="00B56481"/>
    <w:rsid w:val="00B71C15"/>
    <w:rsid w:val="00B75B59"/>
    <w:rsid w:val="00B859D7"/>
    <w:rsid w:val="00B865BD"/>
    <w:rsid w:val="00B979A3"/>
    <w:rsid w:val="00BA2B59"/>
    <w:rsid w:val="00BA3F08"/>
    <w:rsid w:val="00BB15F4"/>
    <w:rsid w:val="00BB45AC"/>
    <w:rsid w:val="00BB65EC"/>
    <w:rsid w:val="00BC03A6"/>
    <w:rsid w:val="00BC3B1C"/>
    <w:rsid w:val="00BE1B56"/>
    <w:rsid w:val="00BE6A8F"/>
    <w:rsid w:val="00BF116C"/>
    <w:rsid w:val="00BF1A97"/>
    <w:rsid w:val="00C002B6"/>
    <w:rsid w:val="00C01FBF"/>
    <w:rsid w:val="00C22E9B"/>
    <w:rsid w:val="00C22F98"/>
    <w:rsid w:val="00C47B5F"/>
    <w:rsid w:val="00C52AF2"/>
    <w:rsid w:val="00C900DB"/>
    <w:rsid w:val="00C92ADC"/>
    <w:rsid w:val="00C93399"/>
    <w:rsid w:val="00CA6D7B"/>
    <w:rsid w:val="00CB38BD"/>
    <w:rsid w:val="00CB439E"/>
    <w:rsid w:val="00CC2502"/>
    <w:rsid w:val="00CD048C"/>
    <w:rsid w:val="00CD3845"/>
    <w:rsid w:val="00CD6FE5"/>
    <w:rsid w:val="00D0484F"/>
    <w:rsid w:val="00D11899"/>
    <w:rsid w:val="00D167CE"/>
    <w:rsid w:val="00D217A6"/>
    <w:rsid w:val="00D221D3"/>
    <w:rsid w:val="00D24B30"/>
    <w:rsid w:val="00D26860"/>
    <w:rsid w:val="00D27BA5"/>
    <w:rsid w:val="00D34734"/>
    <w:rsid w:val="00D41CC7"/>
    <w:rsid w:val="00D54660"/>
    <w:rsid w:val="00D56D3C"/>
    <w:rsid w:val="00D611DE"/>
    <w:rsid w:val="00D65A3C"/>
    <w:rsid w:val="00D746D0"/>
    <w:rsid w:val="00DA0BEB"/>
    <w:rsid w:val="00DB315A"/>
    <w:rsid w:val="00DC1040"/>
    <w:rsid w:val="00DC1C64"/>
    <w:rsid w:val="00DC6A6A"/>
    <w:rsid w:val="00DD1E8F"/>
    <w:rsid w:val="00DD3326"/>
    <w:rsid w:val="00DD62EE"/>
    <w:rsid w:val="00DE6742"/>
    <w:rsid w:val="00DF5333"/>
    <w:rsid w:val="00DF641A"/>
    <w:rsid w:val="00DF64A4"/>
    <w:rsid w:val="00DF6AFA"/>
    <w:rsid w:val="00E02B93"/>
    <w:rsid w:val="00E03D06"/>
    <w:rsid w:val="00E15A52"/>
    <w:rsid w:val="00E17830"/>
    <w:rsid w:val="00E2560A"/>
    <w:rsid w:val="00E415F4"/>
    <w:rsid w:val="00E4291C"/>
    <w:rsid w:val="00E43486"/>
    <w:rsid w:val="00E43B1B"/>
    <w:rsid w:val="00E52C55"/>
    <w:rsid w:val="00E810BE"/>
    <w:rsid w:val="00EB7D57"/>
    <w:rsid w:val="00EC3317"/>
    <w:rsid w:val="00EC3519"/>
    <w:rsid w:val="00EE29B7"/>
    <w:rsid w:val="00EF2D09"/>
    <w:rsid w:val="00EF376A"/>
    <w:rsid w:val="00EF66D9"/>
    <w:rsid w:val="00EF6B71"/>
    <w:rsid w:val="00F0246F"/>
    <w:rsid w:val="00F02C30"/>
    <w:rsid w:val="00F23B2A"/>
    <w:rsid w:val="00F27568"/>
    <w:rsid w:val="00F27E51"/>
    <w:rsid w:val="00F37B5C"/>
    <w:rsid w:val="00F4016E"/>
    <w:rsid w:val="00F56741"/>
    <w:rsid w:val="00F752B4"/>
    <w:rsid w:val="00F85917"/>
    <w:rsid w:val="00F90592"/>
    <w:rsid w:val="00FB3A62"/>
    <w:rsid w:val="00FB714B"/>
    <w:rsid w:val="00FC15A6"/>
    <w:rsid w:val="00FC17C6"/>
    <w:rsid w:val="00FC3909"/>
    <w:rsid w:val="00FD0115"/>
    <w:rsid w:val="00FD7FFE"/>
    <w:rsid w:val="00FE5861"/>
    <w:rsid w:val="00FE7DAD"/>
    <w:rsid w:val="00FF46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56A0F9"/>
  <w15:docId w15:val="{4776596C-7AB5-49F8-8D4B-06AF267B6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167CE"/>
    <w:pPr>
      <w:spacing w:after="200" w:line="276" w:lineRule="auto"/>
    </w:pPr>
    <w:rPr>
      <w:sz w:val="22"/>
      <w:szCs w:val="22"/>
      <w:lang w:eastAsia="en-US"/>
    </w:rPr>
  </w:style>
  <w:style w:type="paragraph" w:styleId="Heading1">
    <w:name w:val="heading 1"/>
    <w:basedOn w:val="Normal"/>
    <w:next w:val="Normal"/>
    <w:link w:val="Heading1Char"/>
    <w:uiPriority w:val="9"/>
    <w:qFormat/>
    <w:rsid w:val="008A5578"/>
    <w:pPr>
      <w:keepNext/>
      <w:keepLines/>
      <w:spacing w:before="480" w:after="24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A5578"/>
    <w:pPr>
      <w:keepNext/>
      <w:keepLines/>
      <w:spacing w:before="240" w:after="24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E12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78357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List-Accent6">
    <w:name w:val="Light List Accent 6"/>
    <w:basedOn w:val="TableNormal"/>
    <w:uiPriority w:val="61"/>
    <w:rsid w:val="00783570"/>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character" w:styleId="Hyperlink">
    <w:name w:val="Hyperlink"/>
    <w:rsid w:val="000B0AF1"/>
    <w:rPr>
      <w:color w:val="0000FF"/>
      <w:u w:val="single"/>
    </w:rPr>
  </w:style>
  <w:style w:type="paragraph" w:styleId="BalloonText">
    <w:name w:val="Balloon Text"/>
    <w:basedOn w:val="Normal"/>
    <w:link w:val="BalloonTextChar"/>
    <w:uiPriority w:val="99"/>
    <w:semiHidden/>
    <w:unhideWhenUsed/>
    <w:rsid w:val="00D221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21D3"/>
    <w:rPr>
      <w:rFonts w:ascii="Tahoma" w:hAnsi="Tahoma" w:cs="Tahoma"/>
      <w:sz w:val="16"/>
      <w:szCs w:val="16"/>
      <w:lang w:eastAsia="en-US"/>
    </w:rPr>
  </w:style>
  <w:style w:type="paragraph" w:styleId="Header">
    <w:name w:val="header"/>
    <w:basedOn w:val="Normal"/>
    <w:link w:val="HeaderChar"/>
    <w:uiPriority w:val="99"/>
    <w:unhideWhenUsed/>
    <w:rsid w:val="006E15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1528"/>
    <w:rPr>
      <w:sz w:val="22"/>
      <w:szCs w:val="22"/>
      <w:lang w:eastAsia="en-US"/>
    </w:rPr>
  </w:style>
  <w:style w:type="paragraph" w:styleId="Footer">
    <w:name w:val="footer"/>
    <w:basedOn w:val="Normal"/>
    <w:link w:val="FooterChar"/>
    <w:uiPriority w:val="99"/>
    <w:unhideWhenUsed/>
    <w:rsid w:val="006E15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1528"/>
    <w:rPr>
      <w:sz w:val="22"/>
      <w:szCs w:val="22"/>
      <w:lang w:eastAsia="en-US"/>
    </w:rPr>
  </w:style>
  <w:style w:type="paragraph" w:styleId="ListParagraph">
    <w:name w:val="List Paragraph"/>
    <w:basedOn w:val="Normal"/>
    <w:uiPriority w:val="34"/>
    <w:qFormat/>
    <w:rsid w:val="00D167CE"/>
    <w:pPr>
      <w:contextualSpacing/>
    </w:pPr>
  </w:style>
  <w:style w:type="character" w:styleId="CommentReference">
    <w:name w:val="annotation reference"/>
    <w:basedOn w:val="DefaultParagraphFont"/>
    <w:uiPriority w:val="99"/>
    <w:semiHidden/>
    <w:unhideWhenUsed/>
    <w:rsid w:val="003E003B"/>
    <w:rPr>
      <w:sz w:val="16"/>
      <w:szCs w:val="16"/>
    </w:rPr>
  </w:style>
  <w:style w:type="paragraph" w:styleId="CommentText">
    <w:name w:val="annotation text"/>
    <w:basedOn w:val="Normal"/>
    <w:link w:val="CommentTextChar"/>
    <w:uiPriority w:val="99"/>
    <w:unhideWhenUsed/>
    <w:rsid w:val="003E003B"/>
    <w:pPr>
      <w:spacing w:line="240" w:lineRule="auto"/>
    </w:pPr>
    <w:rPr>
      <w:sz w:val="20"/>
      <w:szCs w:val="20"/>
    </w:rPr>
  </w:style>
  <w:style w:type="character" w:customStyle="1" w:styleId="CommentTextChar">
    <w:name w:val="Comment Text Char"/>
    <w:basedOn w:val="DefaultParagraphFont"/>
    <w:link w:val="CommentText"/>
    <w:uiPriority w:val="99"/>
    <w:rsid w:val="003E003B"/>
    <w:rPr>
      <w:lang w:eastAsia="en-US"/>
    </w:rPr>
  </w:style>
  <w:style w:type="paragraph" w:styleId="CommentSubject">
    <w:name w:val="annotation subject"/>
    <w:basedOn w:val="CommentText"/>
    <w:next w:val="CommentText"/>
    <w:link w:val="CommentSubjectChar"/>
    <w:uiPriority w:val="99"/>
    <w:semiHidden/>
    <w:unhideWhenUsed/>
    <w:rsid w:val="003E003B"/>
    <w:rPr>
      <w:b/>
      <w:bCs/>
    </w:rPr>
  </w:style>
  <w:style w:type="character" w:customStyle="1" w:styleId="CommentSubjectChar">
    <w:name w:val="Comment Subject Char"/>
    <w:basedOn w:val="CommentTextChar"/>
    <w:link w:val="CommentSubject"/>
    <w:uiPriority w:val="99"/>
    <w:semiHidden/>
    <w:rsid w:val="003E003B"/>
    <w:rPr>
      <w:b/>
      <w:bCs/>
      <w:lang w:eastAsia="en-US"/>
    </w:rPr>
  </w:style>
  <w:style w:type="character" w:customStyle="1" w:styleId="Heading1Char">
    <w:name w:val="Heading 1 Char"/>
    <w:basedOn w:val="DefaultParagraphFont"/>
    <w:link w:val="Heading1"/>
    <w:uiPriority w:val="9"/>
    <w:rsid w:val="008A5578"/>
    <w:rPr>
      <w:rFonts w:asciiTheme="majorHAnsi" w:eastAsiaTheme="majorEastAsia" w:hAnsiTheme="majorHAnsi" w:cstheme="majorBidi"/>
      <w:b/>
      <w:bCs/>
      <w:color w:val="365F91" w:themeColor="accent1" w:themeShade="BF"/>
      <w:sz w:val="28"/>
      <w:szCs w:val="28"/>
      <w:lang w:eastAsia="en-US"/>
    </w:rPr>
  </w:style>
  <w:style w:type="character" w:customStyle="1" w:styleId="Heading2Char">
    <w:name w:val="Heading 2 Char"/>
    <w:basedOn w:val="DefaultParagraphFont"/>
    <w:link w:val="Heading2"/>
    <w:uiPriority w:val="9"/>
    <w:rsid w:val="008A5578"/>
    <w:rPr>
      <w:rFonts w:asciiTheme="majorHAnsi" w:eastAsiaTheme="majorEastAsia" w:hAnsiTheme="majorHAnsi" w:cstheme="majorBidi"/>
      <w:b/>
      <w:bCs/>
      <w:color w:val="4F81BD" w:themeColor="accent1"/>
      <w:sz w:val="26"/>
      <w:szCs w:val="26"/>
      <w:lang w:eastAsia="en-US"/>
    </w:rPr>
  </w:style>
  <w:style w:type="paragraph" w:styleId="Revision">
    <w:name w:val="Revision"/>
    <w:hidden/>
    <w:uiPriority w:val="99"/>
    <w:semiHidden/>
    <w:rsid w:val="009C08D2"/>
    <w:rPr>
      <w:sz w:val="22"/>
      <w:szCs w:val="22"/>
      <w:lang w:eastAsia="en-US"/>
    </w:rPr>
  </w:style>
  <w:style w:type="paragraph" w:styleId="FootnoteText">
    <w:name w:val="footnote text"/>
    <w:basedOn w:val="Normal"/>
    <w:link w:val="FootnoteTextChar"/>
    <w:uiPriority w:val="99"/>
    <w:semiHidden/>
    <w:unhideWhenUsed/>
    <w:rsid w:val="00AB24F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24F0"/>
    <w:rPr>
      <w:lang w:eastAsia="en-US"/>
    </w:rPr>
  </w:style>
  <w:style w:type="character" w:styleId="FootnoteReference">
    <w:name w:val="footnote reference"/>
    <w:basedOn w:val="DefaultParagraphFont"/>
    <w:uiPriority w:val="99"/>
    <w:semiHidden/>
    <w:unhideWhenUsed/>
    <w:rsid w:val="00AB24F0"/>
    <w:rPr>
      <w:vertAlign w:val="superscript"/>
    </w:rPr>
  </w:style>
  <w:style w:type="character" w:customStyle="1" w:styleId="normal-h">
    <w:name w:val="normal-h"/>
    <w:basedOn w:val="DefaultParagraphFont"/>
    <w:rsid w:val="009C6717"/>
  </w:style>
  <w:style w:type="character" w:styleId="LineNumber">
    <w:name w:val="line number"/>
    <w:basedOn w:val="DefaultParagraphFont"/>
    <w:uiPriority w:val="99"/>
    <w:semiHidden/>
    <w:unhideWhenUsed/>
    <w:rsid w:val="00D167CE"/>
    <w:rPr>
      <w:color w:val="BFBFBF" w:themeColor="background1" w:themeShade="BF"/>
    </w:rPr>
  </w:style>
  <w:style w:type="character" w:styleId="FollowedHyperlink">
    <w:name w:val="FollowedHyperlink"/>
    <w:basedOn w:val="DefaultParagraphFont"/>
    <w:uiPriority w:val="99"/>
    <w:semiHidden/>
    <w:unhideWhenUsed/>
    <w:rsid w:val="000D4B1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2312648">
      <w:bodyDiv w:val="1"/>
      <w:marLeft w:val="0"/>
      <w:marRight w:val="0"/>
      <w:marTop w:val="0"/>
      <w:marBottom w:val="0"/>
      <w:divBdr>
        <w:top w:val="none" w:sz="0" w:space="0" w:color="auto"/>
        <w:left w:val="none" w:sz="0" w:space="0" w:color="auto"/>
        <w:bottom w:val="none" w:sz="0" w:space="0" w:color="auto"/>
        <w:right w:val="none" w:sz="0" w:space="0" w:color="auto"/>
      </w:divBdr>
    </w:div>
    <w:div w:id="866404161">
      <w:bodyDiv w:val="1"/>
      <w:marLeft w:val="0"/>
      <w:marRight w:val="0"/>
      <w:marTop w:val="0"/>
      <w:marBottom w:val="0"/>
      <w:divBdr>
        <w:top w:val="none" w:sz="0" w:space="0" w:color="auto"/>
        <w:left w:val="none" w:sz="0" w:space="0" w:color="auto"/>
        <w:bottom w:val="none" w:sz="0" w:space="0" w:color="auto"/>
        <w:right w:val="none" w:sz="0" w:space="0" w:color="auto"/>
      </w:divBdr>
    </w:div>
    <w:div w:id="1513685019">
      <w:bodyDiv w:val="1"/>
      <w:marLeft w:val="0"/>
      <w:marRight w:val="0"/>
      <w:marTop w:val="0"/>
      <w:marBottom w:val="0"/>
      <w:divBdr>
        <w:top w:val="none" w:sz="0" w:space="0" w:color="auto"/>
        <w:left w:val="none" w:sz="0" w:space="0" w:color="auto"/>
        <w:bottom w:val="none" w:sz="0" w:space="0" w:color="auto"/>
        <w:right w:val="none" w:sz="0" w:space="0" w:color="auto"/>
      </w:divBdr>
    </w:div>
    <w:div w:id="1629509893">
      <w:bodyDiv w:val="1"/>
      <w:marLeft w:val="0"/>
      <w:marRight w:val="0"/>
      <w:marTop w:val="0"/>
      <w:marBottom w:val="0"/>
      <w:divBdr>
        <w:top w:val="none" w:sz="0" w:space="0" w:color="auto"/>
        <w:left w:val="none" w:sz="0" w:space="0" w:color="auto"/>
        <w:bottom w:val="none" w:sz="0" w:space="0" w:color="auto"/>
        <w:right w:val="none" w:sz="0" w:space="0" w:color="auto"/>
      </w:divBdr>
    </w:div>
    <w:div w:id="1926918128">
      <w:bodyDiv w:val="1"/>
      <w:marLeft w:val="0"/>
      <w:marRight w:val="0"/>
      <w:marTop w:val="0"/>
      <w:marBottom w:val="0"/>
      <w:divBdr>
        <w:top w:val="none" w:sz="0" w:space="0" w:color="auto"/>
        <w:left w:val="none" w:sz="0" w:space="0" w:color="auto"/>
        <w:bottom w:val="none" w:sz="0" w:space="0" w:color="auto"/>
        <w:right w:val="none" w:sz="0" w:space="0" w:color="auto"/>
      </w:divBdr>
    </w:div>
    <w:div w:id="2031250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dmx.org/wp-content/uploads/Guidelines_on_versioning_v1_0.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mx.org/wp-content/uploads/2014/03/Governance_of_commonly_used_SDMX_metadata_artefacts_v1.2.doc"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esapplnt\estat-c2\0A_Projects\A4_SDMX-NA\OG\OG_2015-03-11\mailto:ESTAT-Support-SDMX@ec.europa.eu"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file:///\\esapplnt\estat-c2\0A_Projects\A4_SDMX-NA\OG\OG_2015-03-11\mailto:FDI-SDMX@oecd.org" TargetMode="External"/><Relationship Id="rId4" Type="http://schemas.openxmlformats.org/officeDocument/2006/relationships/settings" Target="settings.xml"/><Relationship Id="rId9" Type="http://schemas.openxmlformats.org/officeDocument/2006/relationships/hyperlink" Target="file:///\\esapplnt\estat-c2\0A_Projects\A4_SDMX-NA\OG\OG_2015-03-11\mailto:StatisticsQuery@imf.org" TargetMode="External"/><Relationship Id="rId14" Type="http://schemas.openxmlformats.org/officeDocument/2006/relationships/hyperlink" Target="http://sdmx.org/?page_id=4345"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ebnet.oecd.org/OECDGROUPS/Bodies/ShowBodyView.aspx?BodyID=7250" TargetMode="External"/><Relationship Id="rId2" Type="http://schemas.openxmlformats.org/officeDocument/2006/relationships/hyperlink" Target="http://www.imf.org/external/bopage/bopindex.htm" TargetMode="External"/><Relationship Id="rId1" Type="http://schemas.openxmlformats.org/officeDocument/2006/relationships/hyperlink" Target="http://www.sdmx.org" TargetMode="External"/><Relationship Id="rId6" Type="http://schemas.openxmlformats.org/officeDocument/2006/relationships/hyperlink" Target="https://registry.sdmx.org" TargetMode="External"/><Relationship Id="rId5" Type="http://schemas.openxmlformats.org/officeDocument/2006/relationships/hyperlink" Target="http://www.ilo.org/public/english/bureau/stat/guides/cpi/" TargetMode="External"/><Relationship Id="rId4" Type="http://schemas.openxmlformats.org/officeDocument/2006/relationships/hyperlink" Target="http://unstats.un.org/unsd/nationalaccount/iswgna.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476D0F-09BC-4D5B-94E9-1AE99435F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2579</Words>
  <Characters>14704</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AGREEMENT ON THE GOVERNANCE OF SDMX ARTEFACTS</vt:lpstr>
    </vt:vector>
  </TitlesOfParts>
  <Company>European Commission</Company>
  <LinksUpToDate>false</LinksUpToDate>
  <CharactersWithSpaces>17249</CharactersWithSpaces>
  <SharedDoc>false</SharedDoc>
  <HLinks>
    <vt:vector size="6" baseType="variant">
      <vt:variant>
        <vt:i4>3276875</vt:i4>
      </vt:variant>
      <vt:variant>
        <vt:i4>0</vt:i4>
      </vt:variant>
      <vt:variant>
        <vt:i4>0</vt:i4>
      </vt:variant>
      <vt:variant>
        <vt:i4>5</vt:i4>
      </vt:variant>
      <vt:variant>
        <vt:lpwstr>mailto:bop.dsd@sdmx.org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AGREEMENT ON THE GOVERNANCE OF SDMX ARTEFACTS</dc:title>
  <dc:creator>Daniel.SURANYI@ec.europa.eu</dc:creator>
  <cp:lastModifiedBy>Daniel Suranyi</cp:lastModifiedBy>
  <cp:revision>4</cp:revision>
  <cp:lastPrinted>2016-04-17T12:07:00Z</cp:lastPrinted>
  <dcterms:created xsi:type="dcterms:W3CDTF">2016-04-17T12:03:00Z</dcterms:created>
  <dcterms:modified xsi:type="dcterms:W3CDTF">2016-04-17T12:12:00Z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V.Tracking">
    <vt:lpwstr>true</vt:lpwstr>
  </property>
  <property fmtid="{D5CDD505-2E9C-101B-9397-08002B2CF9AE}" pid="4" name="DV.DocumentId">
    <vt:lpwstr>sajMKbHeX996UytO9DVCf2</vt:lpwstr>
  </property>
  <property fmtid="{D5CDD505-2E9C-101B-9397-08002B2CF9AE}" pid="5" name="DV.VersionId">
    <vt:lpwstr>rgQidv6UTpd1atgp2Ex8LO</vt:lpwstr>
  </property>
  <property fmtid="{D5CDD505-2E9C-101B-9397-08002B2CF9AE}" pid="6" name="DV.MergeIncapabilityFlags">
    <vt:i4>0</vt:i4>
  </property>
</Properties>
</file>